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32" w:rsidRPr="00711609" w:rsidRDefault="00FB4332">
      <w:pPr>
        <w:pStyle w:val="20"/>
        <w:rPr>
          <w:rFonts w:hint="eastAsia"/>
          <w:b/>
          <w:sz w:val="34"/>
        </w:rPr>
      </w:pPr>
      <w:r w:rsidRPr="00711609">
        <w:rPr>
          <w:rFonts w:hint="eastAsia"/>
          <w:b/>
        </w:rPr>
        <w:t>零售業等網路交易定型化契約應記載及不得記載事項</w:t>
      </w:r>
    </w:p>
    <w:p w:rsidR="00FB4332" w:rsidRDefault="002E2602" w:rsidP="002E2602">
      <w:pPr>
        <w:pStyle w:val="2"/>
        <w:spacing w:line="460" w:lineRule="exact"/>
        <w:ind w:firstLineChars="1275" w:firstLine="2040"/>
        <w:rPr>
          <w:rFonts w:ascii="Times New Roman" w:hAnsi="Times New Roman" w:hint="eastAsia"/>
        </w:rPr>
      </w:pPr>
      <w:r>
        <w:rPr>
          <w:rFonts w:hint="eastAsia"/>
          <w:kern w:val="0"/>
          <w:sz w:val="16"/>
          <w:szCs w:val="16"/>
        </w:rPr>
        <w:t>經濟部105年7月15日經商字第10502418810號公告修正應記載事項第5點，並自105年10月1日生效</w:t>
      </w:r>
    </w:p>
    <w:p w:rsidR="00FB4332" w:rsidRDefault="00FB4332">
      <w:pPr>
        <w:pStyle w:val="2"/>
        <w:spacing w:line="460" w:lineRule="exact"/>
        <w:rPr>
          <w:rFonts w:ascii="Times New Roman" w:hAnsi="Times New Roman" w:hint="eastAsia"/>
          <w:szCs w:val="28"/>
        </w:rPr>
      </w:pPr>
      <w:r>
        <w:rPr>
          <w:rFonts w:ascii="Times New Roman" w:hAnsi="Times New Roman" w:hint="eastAsia"/>
        </w:rPr>
        <w:t>本公告適用於</w:t>
      </w:r>
      <w:r>
        <w:rPr>
          <w:rFonts w:hint="eastAsia"/>
          <w:bCs/>
        </w:rPr>
        <w:t>經濟部主管之</w:t>
      </w:r>
      <w:r>
        <w:rPr>
          <w:rFonts w:hint="eastAsia"/>
          <w:szCs w:val="28"/>
        </w:rPr>
        <w:t>零售業等</w:t>
      </w:r>
      <w:r>
        <w:rPr>
          <w:rFonts w:ascii="Times New Roman" w:hAnsi="Times New Roman" w:hint="eastAsia"/>
          <w:szCs w:val="28"/>
        </w:rPr>
        <w:t>，透過網路方式對消費者進行交易所訂立之定型化契約。不包括非企業經營者透過網路所進行之交易活動。</w:t>
      </w:r>
    </w:p>
    <w:p w:rsidR="00FB4332" w:rsidRDefault="00FB4332">
      <w:pPr>
        <w:pStyle w:val="2"/>
        <w:spacing w:line="460" w:lineRule="exact"/>
        <w:rPr>
          <w:rFonts w:hint="eastAsia"/>
        </w:rPr>
      </w:pPr>
      <w:r>
        <w:rPr>
          <w:rFonts w:ascii="Times New Roman" w:hAnsi="Times New Roman" w:hint="eastAsia"/>
          <w:szCs w:val="28"/>
        </w:rPr>
        <w:t>適用本公告事項之網路交易活動，已適用其他</w:t>
      </w:r>
      <w:r>
        <w:rPr>
          <w:rFonts w:hint="eastAsia"/>
        </w:rPr>
        <w:t>「應記載及不得記載事項」者，於網路交易定型化契約之範圍，仍不排除本公告之適用。</w:t>
      </w:r>
    </w:p>
    <w:p w:rsidR="00FB4332" w:rsidRDefault="00FB4332">
      <w:pPr>
        <w:pStyle w:val="2"/>
        <w:spacing w:line="460" w:lineRule="exact"/>
        <w:rPr>
          <w:rFonts w:ascii="Times New Roman" w:hAnsi="Times New Roman" w:hint="eastAsia"/>
          <w:szCs w:val="20"/>
        </w:rPr>
      </w:pPr>
    </w:p>
    <w:p w:rsidR="00FB4332" w:rsidRDefault="00FB4332">
      <w:pPr>
        <w:snapToGrid w:val="0"/>
        <w:spacing w:line="460" w:lineRule="exact"/>
        <w:rPr>
          <w:rFonts w:ascii="標楷體" w:hAnsi="標楷體" w:hint="eastAsia"/>
          <w:b/>
          <w:bCs/>
          <w:sz w:val="28"/>
        </w:rPr>
      </w:pPr>
      <w:r>
        <w:rPr>
          <w:rFonts w:hint="eastAsia"/>
          <w:b/>
          <w:bCs/>
          <w:sz w:val="28"/>
        </w:rPr>
        <w:t>零售業等網路交易定型化契約</w:t>
      </w:r>
      <w:r>
        <w:rPr>
          <w:rFonts w:ascii="標楷體" w:hAnsi="標楷體" w:hint="eastAsia"/>
          <w:b/>
          <w:bCs/>
          <w:sz w:val="28"/>
        </w:rPr>
        <w:t>應記載事項</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一、</w:t>
      </w:r>
      <w:r>
        <w:rPr>
          <w:rFonts w:ascii="標楷體" w:hAnsi="標楷體" w:hint="eastAsia"/>
          <w:b/>
          <w:sz w:val="28"/>
        </w:rPr>
        <w:t>企業經營者</w:t>
      </w:r>
      <w:r>
        <w:rPr>
          <w:rFonts w:ascii="標楷體" w:hAnsi="標楷體" w:hint="eastAsia"/>
          <w:b/>
          <w:bCs/>
          <w:sz w:val="28"/>
        </w:rPr>
        <w:t>資訊</w:t>
      </w:r>
    </w:p>
    <w:p w:rsidR="00FB4332" w:rsidRDefault="00FB4332">
      <w:pPr>
        <w:snapToGrid w:val="0"/>
        <w:spacing w:line="460" w:lineRule="exact"/>
        <w:rPr>
          <w:rFonts w:ascii="標楷體" w:hAnsi="標楷體" w:hint="eastAsia"/>
          <w:sz w:val="28"/>
        </w:rPr>
      </w:pPr>
      <w:r>
        <w:rPr>
          <w:rFonts w:ascii="標楷體" w:hAnsi="標楷體" w:hint="eastAsia"/>
          <w:sz w:val="28"/>
        </w:rPr>
        <w:t>企業經營者之名稱、負責人、電話、電子郵件信箱及營業所所在地地址。</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二、定型化契約解釋原則</w:t>
      </w:r>
    </w:p>
    <w:p w:rsidR="00FB4332" w:rsidRDefault="00FB4332">
      <w:pPr>
        <w:snapToGrid w:val="0"/>
        <w:spacing w:line="460" w:lineRule="exact"/>
        <w:rPr>
          <w:rFonts w:ascii="標楷體" w:hAnsi="標楷體" w:hint="eastAsia"/>
          <w:bCs/>
          <w:sz w:val="28"/>
        </w:rPr>
      </w:pPr>
      <w:r>
        <w:rPr>
          <w:rFonts w:ascii="標楷體" w:hAnsi="標楷體" w:hint="eastAsia"/>
          <w:bCs/>
          <w:sz w:val="28"/>
        </w:rPr>
        <w:t>本契約條款如有疑義時，應為有利於消費者之解釋。</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三、商品資訊</w:t>
      </w:r>
    </w:p>
    <w:p w:rsidR="00FB4332" w:rsidRDefault="00FB4332">
      <w:pPr>
        <w:snapToGrid w:val="0"/>
        <w:spacing w:line="460" w:lineRule="exact"/>
        <w:rPr>
          <w:rFonts w:ascii="標楷體" w:hAnsi="標楷體" w:hint="eastAsia"/>
          <w:bCs/>
          <w:sz w:val="28"/>
        </w:rPr>
      </w:pPr>
      <w:r>
        <w:rPr>
          <w:rFonts w:ascii="標楷體" w:hAnsi="標楷體" w:hint="eastAsia"/>
          <w:bCs/>
          <w:sz w:val="28"/>
        </w:rPr>
        <w:t>商品交易頁面呈現之商品名稱、價格、內容、規格、型號及其他相關資訊，為契約之一部分。</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四、以電子文件為表示方法</w:t>
      </w:r>
    </w:p>
    <w:p w:rsidR="00FB4332" w:rsidRDefault="00FB4332">
      <w:pPr>
        <w:snapToGrid w:val="0"/>
        <w:spacing w:line="460" w:lineRule="exact"/>
        <w:rPr>
          <w:rFonts w:ascii="標楷體" w:hAnsi="標楷體" w:hint="eastAsia"/>
          <w:bCs/>
          <w:sz w:val="28"/>
        </w:rPr>
      </w:pPr>
      <w:r>
        <w:rPr>
          <w:rFonts w:ascii="標楷體" w:hAnsi="標楷體" w:hint="eastAsia"/>
          <w:bCs/>
          <w:sz w:val="28"/>
        </w:rPr>
        <w:t>交易雙方同意以電子文件作為表示方法。</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五、</w:t>
      </w:r>
      <w:r w:rsidR="00ED39C0" w:rsidRPr="00ED39C0">
        <w:rPr>
          <w:rFonts w:ascii="標楷體" w:hAnsi="標楷體" w:hint="eastAsia"/>
          <w:b/>
          <w:bCs/>
          <w:sz w:val="28"/>
        </w:rPr>
        <w:t>確認機制及契約履行</w:t>
      </w:r>
    </w:p>
    <w:p w:rsidR="00FB4332" w:rsidRDefault="00ED39C0">
      <w:pPr>
        <w:snapToGrid w:val="0"/>
        <w:spacing w:line="460" w:lineRule="exact"/>
        <w:rPr>
          <w:rFonts w:ascii="標楷體" w:hAnsi="標楷體" w:hint="eastAsia"/>
          <w:bCs/>
          <w:sz w:val="28"/>
        </w:rPr>
      </w:pPr>
      <w:r w:rsidRPr="00ED39C0">
        <w:rPr>
          <w:rFonts w:ascii="標楷體" w:hAnsi="標楷體" w:hint="eastAsia"/>
          <w:bCs/>
          <w:color w:val="000000"/>
          <w:sz w:val="28"/>
          <w:szCs w:val="28"/>
        </w:rPr>
        <w:t>企業經營者應於消費者訂立契約前，提供商品之種類、數量、價格及其他重要事項之確認機制，並應於契約成立後，確實履行契約。</w:t>
      </w:r>
    </w:p>
    <w:p w:rsidR="00FB4332" w:rsidRDefault="00FB4332">
      <w:pPr>
        <w:adjustRightInd w:val="0"/>
        <w:snapToGrid w:val="0"/>
        <w:spacing w:line="400" w:lineRule="atLeast"/>
        <w:rPr>
          <w:rFonts w:ascii="標楷體" w:hAnsi="標楷體" w:hint="eastAsia"/>
          <w:b/>
          <w:bCs/>
          <w:sz w:val="28"/>
        </w:rPr>
      </w:pPr>
      <w:r>
        <w:rPr>
          <w:rFonts w:ascii="標楷體" w:hAnsi="標楷體" w:hint="eastAsia"/>
          <w:b/>
          <w:bCs/>
          <w:sz w:val="28"/>
        </w:rPr>
        <w:t>六、商品訂購</w:t>
      </w:r>
      <w:r>
        <w:rPr>
          <w:rFonts w:ascii="標楷體" w:hAnsi="標楷體" w:hint="eastAsia"/>
          <w:b/>
          <w:sz w:val="28"/>
        </w:rPr>
        <w:t>數量上限</w:t>
      </w:r>
    </w:p>
    <w:p w:rsidR="00FB4332" w:rsidRDefault="00FB4332">
      <w:pPr>
        <w:adjustRightInd w:val="0"/>
        <w:snapToGrid w:val="0"/>
        <w:spacing w:line="400" w:lineRule="atLeast"/>
        <w:jc w:val="both"/>
        <w:rPr>
          <w:rFonts w:ascii="標楷體" w:hAnsi="標楷體" w:hint="eastAsia"/>
          <w:sz w:val="28"/>
          <w:u w:val="single"/>
        </w:rPr>
      </w:pPr>
      <w:r>
        <w:rPr>
          <w:rFonts w:ascii="標楷體" w:hAnsi="標楷體" w:hint="eastAsia"/>
          <w:sz w:val="28"/>
        </w:rPr>
        <w:t>企業經營者於必要時，得就特定商品訂定個別消費者每次訂購之數量上限。</w:t>
      </w:r>
    </w:p>
    <w:p w:rsidR="00FB4332" w:rsidRDefault="00FB4332">
      <w:pPr>
        <w:snapToGrid w:val="0"/>
        <w:spacing w:line="460" w:lineRule="exact"/>
        <w:rPr>
          <w:rFonts w:ascii="標楷體" w:hAnsi="標楷體" w:hint="eastAsia"/>
          <w:bCs/>
          <w:sz w:val="28"/>
        </w:rPr>
      </w:pPr>
      <w:r>
        <w:rPr>
          <w:rFonts w:ascii="標楷體" w:hAnsi="標楷體" w:hint="eastAsia"/>
          <w:sz w:val="28"/>
        </w:rPr>
        <w:t>消費者逾越企業經營者訂定之數量上限進行下單時，企業經營者僅依該數量上限</w:t>
      </w:r>
      <w:r>
        <w:rPr>
          <w:rFonts w:ascii="標楷體" w:hAnsi="標楷體" w:hint="eastAsia"/>
          <w:bCs/>
          <w:sz w:val="28"/>
        </w:rPr>
        <w:t>出貨。</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七、商品交付地及交付方式</w:t>
      </w:r>
    </w:p>
    <w:p w:rsidR="00FB4332" w:rsidRDefault="00FB4332">
      <w:pPr>
        <w:snapToGrid w:val="0"/>
        <w:spacing w:line="460" w:lineRule="exact"/>
        <w:rPr>
          <w:rFonts w:ascii="標楷體" w:hAnsi="標楷體" w:hint="eastAsia"/>
          <w:sz w:val="28"/>
        </w:rPr>
      </w:pPr>
      <w:r>
        <w:rPr>
          <w:rFonts w:ascii="標楷體" w:hAnsi="標楷體" w:hint="eastAsia"/>
          <w:sz w:val="28"/>
        </w:rPr>
        <w:t>企業經營者應提供商品交付之地點及方式供消費者選擇，並依消費者之擇定交付。</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八、付款方式說明</w:t>
      </w:r>
    </w:p>
    <w:p w:rsidR="00FB4332" w:rsidRDefault="00FB4332">
      <w:pPr>
        <w:adjustRightInd w:val="0"/>
        <w:snapToGrid w:val="0"/>
        <w:spacing w:line="400" w:lineRule="atLeast"/>
        <w:jc w:val="both"/>
        <w:rPr>
          <w:rFonts w:ascii="標楷體" w:hAnsi="標楷體" w:hint="eastAsia"/>
          <w:sz w:val="28"/>
          <w:u w:val="single"/>
        </w:rPr>
      </w:pPr>
      <w:r>
        <w:rPr>
          <w:rFonts w:ascii="標楷體" w:hAnsi="標楷體" w:hint="eastAsia"/>
          <w:sz w:val="28"/>
        </w:rPr>
        <w:t>企業經營者應提供付款方式之說明供消費者參閱。</w:t>
      </w:r>
    </w:p>
    <w:p w:rsidR="00FB4332" w:rsidRDefault="00FB4332">
      <w:pPr>
        <w:snapToGrid w:val="0"/>
        <w:spacing w:line="460" w:lineRule="exact"/>
        <w:rPr>
          <w:rFonts w:ascii="標楷體" w:hAnsi="標楷體" w:cs="新細明體" w:hint="eastAsia"/>
          <w:kern w:val="0"/>
          <w:sz w:val="28"/>
          <w:lang w:val="zh-TW"/>
        </w:rPr>
      </w:pPr>
      <w:r>
        <w:rPr>
          <w:rFonts w:ascii="標楷體" w:hAnsi="標楷體" w:hint="eastAsia"/>
          <w:sz w:val="28"/>
        </w:rPr>
        <w:t>企業經營者提供之付款方式如有小額信用貸款或其他債權債務關係產生時，企業經營者須主動向消費者告知及說明如債權</w:t>
      </w:r>
      <w:r>
        <w:rPr>
          <w:rFonts w:ascii="標楷體" w:hAnsi="標楷體" w:cs="新細明體" w:hint="eastAsia"/>
          <w:kern w:val="0"/>
          <w:sz w:val="28"/>
          <w:lang w:val="zh-TW"/>
        </w:rPr>
        <w:t>債務主體、利息計算方式、是否另有信用保險或保證人之設定或涉入等資訊。</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lastRenderedPageBreak/>
        <w:t>九、運費</w:t>
      </w:r>
    </w:p>
    <w:p w:rsidR="00FB4332" w:rsidRDefault="00FB4332">
      <w:pPr>
        <w:snapToGrid w:val="0"/>
        <w:spacing w:line="460" w:lineRule="exact"/>
        <w:rPr>
          <w:rFonts w:ascii="標楷體" w:hAnsi="標楷體" w:hint="eastAsia"/>
          <w:color w:val="000000"/>
          <w:sz w:val="28"/>
          <w:szCs w:val="28"/>
        </w:rPr>
      </w:pPr>
      <w:r>
        <w:rPr>
          <w:rFonts w:ascii="標楷體" w:hAnsi="標楷體" w:hint="eastAsia"/>
          <w:color w:val="000000"/>
          <w:sz w:val="28"/>
          <w:szCs w:val="28"/>
        </w:rPr>
        <w:t>企業經營者應記載寄送商品運費之計價及負擔方式；如未記載，視同運費由企業經營者負擔。</w:t>
      </w:r>
    </w:p>
    <w:p w:rsidR="00FB4332" w:rsidRDefault="00FB4332">
      <w:pPr>
        <w:adjustRightInd w:val="0"/>
        <w:snapToGrid w:val="0"/>
        <w:spacing w:line="400" w:lineRule="atLeast"/>
        <w:jc w:val="both"/>
        <w:rPr>
          <w:rFonts w:ascii="標楷體" w:hAnsi="標楷體" w:cs="新細明體" w:hint="eastAsia"/>
          <w:sz w:val="28"/>
        </w:rPr>
      </w:pPr>
      <w:r>
        <w:rPr>
          <w:rFonts w:ascii="標楷體" w:hAnsi="標楷體" w:hint="eastAsia"/>
          <w:b/>
          <w:bCs/>
          <w:sz w:val="28"/>
        </w:rPr>
        <w:t>十、退貨及契約解除權</w:t>
      </w:r>
    </w:p>
    <w:p w:rsidR="00FB4332" w:rsidRDefault="00FB4332">
      <w:pPr>
        <w:snapToGrid w:val="0"/>
        <w:spacing w:line="460" w:lineRule="exact"/>
        <w:rPr>
          <w:rFonts w:ascii="標楷體" w:hAnsi="標楷體" w:hint="eastAsia"/>
          <w:color w:val="000000"/>
          <w:sz w:val="28"/>
          <w:szCs w:val="28"/>
        </w:rPr>
      </w:pPr>
      <w:r>
        <w:rPr>
          <w:rFonts w:ascii="標楷體" w:hAnsi="標楷體" w:hint="eastAsia"/>
          <w:color w:val="000000"/>
          <w:sz w:val="28"/>
          <w:szCs w:val="28"/>
        </w:rPr>
        <w:t>消費者</w:t>
      </w:r>
      <w:r>
        <w:rPr>
          <w:rFonts w:ascii="標楷體" w:hAnsi="標楷體" w:cs="新細明體" w:hint="eastAsia"/>
          <w:color w:val="000000"/>
          <w:sz w:val="28"/>
          <w:szCs w:val="28"/>
        </w:rPr>
        <w:t>得</w:t>
      </w:r>
      <w:r>
        <w:rPr>
          <w:rFonts w:ascii="標楷體" w:hAnsi="標楷體" w:hint="eastAsia"/>
          <w:color w:val="000000"/>
          <w:sz w:val="28"/>
          <w:szCs w:val="28"/>
        </w:rPr>
        <w:t>依消費者保護法第十九條第一項行使相關權利。</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十一、個人資料保護</w:t>
      </w:r>
    </w:p>
    <w:p w:rsidR="00FB4332" w:rsidRDefault="00FB4332">
      <w:pPr>
        <w:snapToGrid w:val="0"/>
        <w:spacing w:line="460" w:lineRule="exact"/>
        <w:rPr>
          <w:rFonts w:ascii="標楷體" w:hAnsi="標楷體" w:hint="eastAsia"/>
          <w:sz w:val="28"/>
        </w:rPr>
      </w:pPr>
      <w:r>
        <w:rPr>
          <w:rFonts w:ascii="標楷體" w:hAnsi="標楷體" w:hint="eastAsia"/>
          <w:sz w:val="28"/>
        </w:rPr>
        <w:t>企業經營者應遵守個人資料保護相關法令規定。</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十二、帳號密碼被冒用之處理</w:t>
      </w:r>
    </w:p>
    <w:p w:rsidR="00FB4332" w:rsidRDefault="00FB4332">
      <w:pPr>
        <w:snapToGrid w:val="0"/>
        <w:spacing w:line="460" w:lineRule="exact"/>
        <w:rPr>
          <w:rFonts w:ascii="標楷體" w:hAnsi="標楷體" w:hint="eastAsia"/>
          <w:bCs/>
          <w:sz w:val="28"/>
        </w:rPr>
      </w:pPr>
      <w:r>
        <w:rPr>
          <w:rFonts w:ascii="標楷體" w:hAnsi="標楷體" w:hint="eastAsia"/>
          <w:bCs/>
          <w:sz w:val="28"/>
        </w:rPr>
        <w:t>企業</w:t>
      </w:r>
      <w:r>
        <w:rPr>
          <w:rFonts w:ascii="標楷體" w:hAnsi="標楷體" w:hint="eastAsia"/>
          <w:sz w:val="28"/>
        </w:rPr>
        <w:t>經營者</w:t>
      </w:r>
      <w:r>
        <w:rPr>
          <w:rFonts w:ascii="標楷體" w:hAnsi="標楷體" w:hint="eastAsia"/>
          <w:bCs/>
          <w:sz w:val="28"/>
        </w:rPr>
        <w:t>應於知悉消費者之帳號密碼被冒用時，立即暫停該帳號所生交易之處理及後續利用。</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十三、系統安全</w:t>
      </w:r>
    </w:p>
    <w:p w:rsidR="00FB4332" w:rsidRDefault="00FB4332">
      <w:pPr>
        <w:snapToGrid w:val="0"/>
        <w:spacing w:line="460" w:lineRule="exact"/>
        <w:rPr>
          <w:rFonts w:ascii="標楷體" w:hAnsi="標楷體" w:hint="eastAsia"/>
          <w:sz w:val="28"/>
        </w:rPr>
      </w:pPr>
      <w:r>
        <w:rPr>
          <w:rFonts w:ascii="標楷體" w:hAnsi="標楷體" w:cs="新細明體" w:hint="eastAsia"/>
          <w:sz w:val="28"/>
        </w:rPr>
        <w:t>企</w:t>
      </w:r>
      <w:r>
        <w:rPr>
          <w:rFonts w:ascii="標楷體" w:hAnsi="標楷體" w:hint="eastAsia"/>
          <w:sz w:val="28"/>
        </w:rPr>
        <w:t>業經營者應確保其與消費者交易之電腦系統具有符合一般可合理期待之安全性。</w:t>
      </w:r>
    </w:p>
    <w:p w:rsidR="00FB4332" w:rsidRDefault="00FB4332">
      <w:pPr>
        <w:adjustRightInd w:val="0"/>
        <w:snapToGrid w:val="0"/>
        <w:spacing w:line="400" w:lineRule="atLeast"/>
        <w:jc w:val="both"/>
        <w:rPr>
          <w:rFonts w:ascii="標楷體" w:hAnsi="標楷體" w:cs="新細明體" w:hint="eastAsia"/>
          <w:b/>
          <w:sz w:val="28"/>
        </w:rPr>
      </w:pPr>
      <w:r>
        <w:rPr>
          <w:rFonts w:ascii="標楷體" w:hAnsi="標楷體" w:cs="新細明體" w:hint="eastAsia"/>
          <w:b/>
          <w:sz w:val="28"/>
        </w:rPr>
        <w:t>十四、消費爭議處理</w:t>
      </w:r>
    </w:p>
    <w:p w:rsidR="00FB4332" w:rsidRDefault="00FB4332">
      <w:pPr>
        <w:snapToGrid w:val="0"/>
        <w:spacing w:line="460" w:lineRule="exact"/>
        <w:rPr>
          <w:rFonts w:ascii="標楷體" w:hAnsi="標楷體" w:hint="eastAsia"/>
          <w:sz w:val="28"/>
        </w:rPr>
      </w:pPr>
      <w:r>
        <w:rPr>
          <w:rFonts w:ascii="標楷體" w:hAnsi="標楷體" w:hint="eastAsia"/>
          <w:sz w:val="28"/>
        </w:rPr>
        <w:t>企業經營者應就消費爭議說明採用之申訴及爭議處理機制、程序及相關聯絡資訊。</w:t>
      </w:r>
    </w:p>
    <w:p w:rsidR="00FB4332" w:rsidRDefault="00FB4332">
      <w:pPr>
        <w:snapToGrid w:val="0"/>
        <w:spacing w:line="460" w:lineRule="exact"/>
        <w:rPr>
          <w:rFonts w:hint="eastAsia"/>
          <w:sz w:val="28"/>
        </w:rPr>
      </w:pPr>
    </w:p>
    <w:p w:rsidR="00FB4332" w:rsidRDefault="00FB4332">
      <w:pPr>
        <w:snapToGrid w:val="0"/>
        <w:spacing w:line="460" w:lineRule="exact"/>
        <w:rPr>
          <w:rFonts w:hint="eastAsia"/>
          <w:b/>
          <w:sz w:val="28"/>
        </w:rPr>
      </w:pPr>
      <w:r>
        <w:rPr>
          <w:rFonts w:hint="eastAsia"/>
          <w:b/>
          <w:bCs/>
          <w:sz w:val="28"/>
        </w:rPr>
        <w:t>零售業等網路交易定型化契約</w:t>
      </w:r>
      <w:r>
        <w:rPr>
          <w:rFonts w:hint="eastAsia"/>
          <w:b/>
          <w:sz w:val="28"/>
        </w:rPr>
        <w:t>不得記載事項</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一、個人資料行使之權利</w:t>
      </w:r>
    </w:p>
    <w:p w:rsidR="00FB4332" w:rsidRDefault="00FB4332">
      <w:pPr>
        <w:adjustRightInd w:val="0"/>
        <w:snapToGrid w:val="0"/>
        <w:spacing w:line="400" w:lineRule="atLeast"/>
        <w:jc w:val="both"/>
        <w:rPr>
          <w:rFonts w:ascii="標楷體" w:hAnsi="標楷體" w:hint="eastAsia"/>
          <w:bCs/>
          <w:sz w:val="28"/>
        </w:rPr>
      </w:pPr>
      <w:r>
        <w:rPr>
          <w:rFonts w:ascii="標楷體" w:hAnsi="標楷體" w:hint="eastAsia"/>
          <w:bCs/>
          <w:sz w:val="28"/>
        </w:rPr>
        <w:t>不得記載消費者預先拋棄或限制下列個人資料權利之行使：</w:t>
      </w:r>
    </w:p>
    <w:p w:rsidR="00FB4332" w:rsidRDefault="00FB4332">
      <w:pPr>
        <w:adjustRightInd w:val="0"/>
        <w:snapToGrid w:val="0"/>
        <w:spacing w:line="400" w:lineRule="atLeast"/>
        <w:ind w:firstLineChars="214" w:firstLine="599"/>
        <w:jc w:val="both"/>
        <w:rPr>
          <w:rFonts w:ascii="標楷體" w:hAnsi="標楷體" w:hint="eastAsia"/>
          <w:bCs/>
          <w:sz w:val="28"/>
        </w:rPr>
      </w:pPr>
      <w:r>
        <w:rPr>
          <w:rFonts w:ascii="標楷體" w:hAnsi="標楷體" w:hint="eastAsia"/>
          <w:bCs/>
          <w:sz w:val="28"/>
        </w:rPr>
        <w:t>(</w:t>
      </w:r>
      <w:proofErr w:type="gramStart"/>
      <w:r>
        <w:rPr>
          <w:rFonts w:ascii="標楷體" w:hAnsi="標楷體" w:hint="eastAsia"/>
          <w:bCs/>
          <w:sz w:val="28"/>
        </w:rPr>
        <w:t>一</w:t>
      </w:r>
      <w:proofErr w:type="gramEnd"/>
      <w:r>
        <w:rPr>
          <w:rFonts w:ascii="標楷體" w:hAnsi="標楷體" w:hint="eastAsia"/>
          <w:bCs/>
          <w:sz w:val="28"/>
        </w:rPr>
        <w:t>)查詢及請求閱覽。</w:t>
      </w:r>
    </w:p>
    <w:p w:rsidR="00FB4332" w:rsidRDefault="00FB4332">
      <w:pPr>
        <w:adjustRightInd w:val="0"/>
        <w:snapToGrid w:val="0"/>
        <w:spacing w:line="400" w:lineRule="atLeast"/>
        <w:ind w:firstLineChars="214" w:firstLine="599"/>
        <w:jc w:val="both"/>
        <w:rPr>
          <w:rFonts w:ascii="標楷體" w:hAnsi="標楷體" w:hint="eastAsia"/>
          <w:bCs/>
          <w:sz w:val="28"/>
        </w:rPr>
      </w:pPr>
      <w:r>
        <w:rPr>
          <w:rFonts w:ascii="標楷體" w:hAnsi="標楷體" w:hint="eastAsia"/>
          <w:bCs/>
          <w:sz w:val="28"/>
        </w:rPr>
        <w:t>(二)請求製給複製本。</w:t>
      </w:r>
    </w:p>
    <w:p w:rsidR="00FB4332" w:rsidRDefault="00FB4332">
      <w:pPr>
        <w:adjustRightInd w:val="0"/>
        <w:snapToGrid w:val="0"/>
        <w:spacing w:line="400" w:lineRule="atLeast"/>
        <w:ind w:firstLineChars="214" w:firstLine="599"/>
        <w:jc w:val="both"/>
        <w:rPr>
          <w:rFonts w:ascii="標楷體" w:hAnsi="標楷體" w:hint="eastAsia"/>
          <w:bCs/>
          <w:sz w:val="28"/>
        </w:rPr>
      </w:pPr>
      <w:r>
        <w:rPr>
          <w:rFonts w:ascii="標楷體" w:hAnsi="標楷體" w:hint="eastAsia"/>
          <w:bCs/>
          <w:sz w:val="28"/>
        </w:rPr>
        <w:t>(三)請求補充或更正。</w:t>
      </w:r>
    </w:p>
    <w:p w:rsidR="00FB4332" w:rsidRDefault="00FB4332">
      <w:pPr>
        <w:adjustRightInd w:val="0"/>
        <w:snapToGrid w:val="0"/>
        <w:spacing w:line="400" w:lineRule="atLeast"/>
        <w:ind w:firstLineChars="214" w:firstLine="599"/>
        <w:jc w:val="both"/>
        <w:rPr>
          <w:rFonts w:ascii="標楷體" w:hAnsi="標楷體" w:hint="eastAsia"/>
          <w:bCs/>
          <w:sz w:val="28"/>
        </w:rPr>
      </w:pPr>
      <w:r>
        <w:rPr>
          <w:rFonts w:ascii="標楷體" w:hAnsi="標楷體" w:hint="eastAsia"/>
          <w:bCs/>
          <w:sz w:val="28"/>
        </w:rPr>
        <w:t>(四)請求停止蒐集、處理或利用。</w:t>
      </w:r>
    </w:p>
    <w:p w:rsidR="00FB4332" w:rsidRDefault="00FB4332">
      <w:pPr>
        <w:snapToGrid w:val="0"/>
        <w:spacing w:line="460" w:lineRule="exact"/>
        <w:ind w:firstLineChars="214" w:firstLine="599"/>
        <w:rPr>
          <w:rFonts w:ascii="標楷體" w:hAnsi="標楷體" w:hint="eastAsia"/>
          <w:bCs/>
          <w:sz w:val="28"/>
        </w:rPr>
      </w:pPr>
      <w:r>
        <w:rPr>
          <w:rFonts w:ascii="標楷體" w:hAnsi="標楷體" w:hint="eastAsia"/>
          <w:bCs/>
          <w:sz w:val="28"/>
        </w:rPr>
        <w:t>(五)請求刪除。</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二、目的外之個人資料利用</w:t>
      </w:r>
    </w:p>
    <w:p w:rsidR="00FB4332" w:rsidRDefault="00FB4332">
      <w:pPr>
        <w:snapToGrid w:val="0"/>
        <w:spacing w:line="460" w:lineRule="exact"/>
        <w:rPr>
          <w:rFonts w:ascii="標楷體" w:hAnsi="標楷體" w:hint="eastAsia"/>
          <w:bCs/>
          <w:sz w:val="28"/>
        </w:rPr>
      </w:pPr>
      <w:r>
        <w:rPr>
          <w:rFonts w:ascii="標楷體" w:hAnsi="標楷體" w:hint="eastAsia"/>
          <w:bCs/>
          <w:sz w:val="28"/>
        </w:rPr>
        <w:t>不得記載消費者個人資料得為契約目的必要範圍外之利用。</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三、單方契約變更之禁止</w:t>
      </w:r>
    </w:p>
    <w:p w:rsidR="00FB4332" w:rsidRDefault="00FB4332">
      <w:pPr>
        <w:adjustRightInd w:val="0"/>
        <w:snapToGrid w:val="0"/>
        <w:spacing w:line="400" w:lineRule="atLeast"/>
        <w:jc w:val="both"/>
        <w:rPr>
          <w:rFonts w:ascii="標楷體" w:hAnsi="標楷體" w:hint="eastAsia"/>
          <w:bCs/>
          <w:sz w:val="28"/>
        </w:rPr>
      </w:pPr>
      <w:r>
        <w:rPr>
          <w:rFonts w:ascii="標楷體" w:hAnsi="標楷體" w:hint="eastAsia"/>
          <w:bCs/>
          <w:sz w:val="28"/>
        </w:rPr>
        <w:t>不得記載企業經營者得片面變更商品之規格、原產地與配件，及消費者不得異議之條款。</w:t>
      </w:r>
    </w:p>
    <w:p w:rsidR="00FB4332" w:rsidRDefault="00FB4332">
      <w:pPr>
        <w:snapToGrid w:val="0"/>
        <w:spacing w:line="460" w:lineRule="exact"/>
        <w:rPr>
          <w:rFonts w:ascii="標楷體" w:hAnsi="標楷體" w:hint="eastAsia"/>
          <w:bCs/>
          <w:sz w:val="28"/>
        </w:rPr>
      </w:pPr>
      <w:r>
        <w:rPr>
          <w:rFonts w:ascii="標楷體" w:hAnsi="標楷體" w:hint="eastAsia"/>
          <w:bCs/>
          <w:sz w:val="28"/>
        </w:rPr>
        <w:t>不得記載企業經營者得單方變更契約內容。</w:t>
      </w:r>
    </w:p>
    <w:p w:rsidR="00FB4332" w:rsidRDefault="00FB4332">
      <w:pPr>
        <w:adjustRightInd w:val="0"/>
        <w:snapToGrid w:val="0"/>
        <w:spacing w:line="400" w:lineRule="atLeast"/>
        <w:rPr>
          <w:rFonts w:ascii="標楷體" w:hAnsi="標楷體" w:hint="eastAsia"/>
          <w:b/>
          <w:bCs/>
          <w:sz w:val="28"/>
        </w:rPr>
      </w:pPr>
      <w:r>
        <w:rPr>
          <w:rFonts w:ascii="標楷體" w:hAnsi="標楷體" w:hint="eastAsia"/>
          <w:b/>
          <w:bCs/>
          <w:sz w:val="28"/>
        </w:rPr>
        <w:t>四、終止契約及賠償責任免除</w:t>
      </w:r>
    </w:p>
    <w:p w:rsidR="00FB4332" w:rsidRDefault="00FB4332">
      <w:pPr>
        <w:adjustRightInd w:val="0"/>
        <w:snapToGrid w:val="0"/>
        <w:spacing w:line="400" w:lineRule="atLeast"/>
        <w:rPr>
          <w:rFonts w:ascii="標楷體" w:hAnsi="標楷體" w:hint="eastAsia"/>
          <w:bCs/>
          <w:sz w:val="28"/>
        </w:rPr>
      </w:pPr>
      <w:r>
        <w:rPr>
          <w:rFonts w:ascii="標楷體" w:hAnsi="標楷體" w:hint="eastAsia"/>
          <w:bCs/>
          <w:sz w:val="28"/>
        </w:rPr>
        <w:t>不得記載企業經營者得任意終止或解除契約。</w:t>
      </w:r>
    </w:p>
    <w:p w:rsidR="00FB4332" w:rsidRDefault="00FB4332">
      <w:pPr>
        <w:snapToGrid w:val="0"/>
        <w:spacing w:line="460" w:lineRule="exact"/>
        <w:rPr>
          <w:rFonts w:ascii="標楷體" w:hAnsi="標楷體" w:hint="eastAsia"/>
          <w:bCs/>
          <w:sz w:val="28"/>
        </w:rPr>
      </w:pPr>
      <w:r>
        <w:rPr>
          <w:rFonts w:ascii="標楷體" w:hAnsi="標楷體" w:hint="eastAsia"/>
          <w:bCs/>
          <w:sz w:val="28"/>
        </w:rPr>
        <w:lastRenderedPageBreak/>
        <w:t>不得預先免除企業經營者終止或解除契約時所應負之賠償責任。</w:t>
      </w:r>
    </w:p>
    <w:p w:rsidR="00FB4332" w:rsidRDefault="00FB4332">
      <w:pPr>
        <w:adjustRightInd w:val="0"/>
        <w:snapToGrid w:val="0"/>
        <w:spacing w:line="400" w:lineRule="atLeast"/>
        <w:rPr>
          <w:rFonts w:ascii="標楷體" w:hAnsi="標楷體" w:hint="eastAsia"/>
          <w:b/>
          <w:bCs/>
          <w:sz w:val="28"/>
        </w:rPr>
      </w:pPr>
      <w:r>
        <w:rPr>
          <w:rFonts w:ascii="標楷體" w:hAnsi="標楷體" w:hint="eastAsia"/>
          <w:b/>
          <w:bCs/>
          <w:sz w:val="28"/>
        </w:rPr>
        <w:t>五、消費者之契約解除或終止權</w:t>
      </w:r>
    </w:p>
    <w:p w:rsidR="00FB4332" w:rsidRDefault="00FB4332">
      <w:pPr>
        <w:snapToGrid w:val="0"/>
        <w:spacing w:line="460" w:lineRule="exact"/>
        <w:rPr>
          <w:rFonts w:ascii="標楷體" w:hAnsi="標楷體" w:hint="eastAsia"/>
          <w:b/>
          <w:bCs/>
          <w:sz w:val="28"/>
        </w:rPr>
      </w:pPr>
      <w:r>
        <w:rPr>
          <w:rFonts w:ascii="標楷體" w:hAnsi="標楷體" w:hint="eastAsia"/>
          <w:bCs/>
          <w:sz w:val="28"/>
        </w:rPr>
        <w:t>不得記載消費者放棄或限制依法享有之契約解除權或終止權</w:t>
      </w:r>
      <w:r>
        <w:rPr>
          <w:rFonts w:ascii="標楷體" w:hAnsi="標楷體" w:hint="eastAsia"/>
          <w:b/>
          <w:bCs/>
          <w:sz w:val="28"/>
        </w:rPr>
        <w:t>。</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六、廣告</w:t>
      </w:r>
    </w:p>
    <w:p w:rsidR="00FB4332" w:rsidRDefault="00FB4332">
      <w:pPr>
        <w:snapToGrid w:val="0"/>
        <w:spacing w:line="460" w:lineRule="exact"/>
        <w:rPr>
          <w:rFonts w:ascii="標楷體" w:hAnsi="標楷體" w:hint="eastAsia"/>
          <w:bCs/>
          <w:sz w:val="28"/>
        </w:rPr>
      </w:pPr>
      <w:r>
        <w:rPr>
          <w:rFonts w:ascii="標楷體" w:hAnsi="標楷體" w:hint="eastAsia"/>
          <w:bCs/>
          <w:sz w:val="28"/>
        </w:rPr>
        <w:t>不得記載廣告僅供參考。</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七、證據排除</w:t>
      </w:r>
    </w:p>
    <w:p w:rsidR="00FB4332" w:rsidRDefault="00FB4332">
      <w:pPr>
        <w:snapToGrid w:val="0"/>
        <w:spacing w:line="460" w:lineRule="exact"/>
        <w:rPr>
          <w:rFonts w:ascii="標楷體" w:hAnsi="標楷體" w:hint="eastAsia"/>
          <w:bCs/>
          <w:sz w:val="28"/>
        </w:rPr>
      </w:pPr>
      <w:r>
        <w:rPr>
          <w:rFonts w:ascii="標楷體" w:hAnsi="標楷體" w:hint="eastAsia"/>
          <w:bCs/>
          <w:sz w:val="28"/>
        </w:rPr>
        <w:t>不得記載如有糾紛，限以企業經營者所保存之電子交易資料作為認定相關事實之依據。</w:t>
      </w:r>
    </w:p>
    <w:p w:rsidR="00FB4332" w:rsidRDefault="00FB4332">
      <w:pPr>
        <w:adjustRightInd w:val="0"/>
        <w:snapToGrid w:val="0"/>
        <w:spacing w:line="400" w:lineRule="atLeast"/>
        <w:jc w:val="both"/>
        <w:rPr>
          <w:rFonts w:ascii="標楷體" w:hAnsi="標楷體" w:hint="eastAsia"/>
          <w:b/>
          <w:bCs/>
          <w:sz w:val="28"/>
        </w:rPr>
      </w:pPr>
      <w:r>
        <w:rPr>
          <w:rFonts w:ascii="標楷體" w:hAnsi="標楷體" w:hint="eastAsia"/>
          <w:b/>
          <w:bCs/>
          <w:sz w:val="28"/>
        </w:rPr>
        <w:t>八、管轄法院</w:t>
      </w:r>
    </w:p>
    <w:p w:rsidR="00FB4332" w:rsidRDefault="00FB4332">
      <w:pPr>
        <w:snapToGrid w:val="0"/>
        <w:spacing w:line="460" w:lineRule="exact"/>
        <w:rPr>
          <w:rFonts w:ascii="標楷體" w:hAnsi="標楷體" w:hint="eastAsia"/>
          <w:bCs/>
          <w:sz w:val="28"/>
        </w:rPr>
      </w:pPr>
      <w:r>
        <w:rPr>
          <w:rFonts w:ascii="標楷體" w:hAnsi="標楷體" w:hint="eastAsia"/>
          <w:bCs/>
          <w:sz w:val="28"/>
        </w:rPr>
        <w:t>不得記載排除消費者保護法第四十七條或民事訴訟法第四百三十六條之九小額訴訟管轄法院之適用。</w:t>
      </w:r>
    </w:p>
    <w:p w:rsidR="00FB4332" w:rsidRDefault="00FB4332">
      <w:pPr>
        <w:snapToGrid w:val="0"/>
        <w:spacing w:line="460" w:lineRule="exact"/>
        <w:rPr>
          <w:rFonts w:ascii="標楷體" w:hAnsi="標楷體" w:hint="eastAsia"/>
          <w:bCs/>
          <w:sz w:val="28"/>
        </w:rPr>
      </w:pPr>
    </w:p>
    <w:p w:rsidR="00FB4332" w:rsidRDefault="00FB4332">
      <w:pPr>
        <w:snapToGrid w:val="0"/>
        <w:spacing w:afterLines="100"/>
        <w:jc w:val="center"/>
        <w:rPr>
          <w:rFonts w:hint="eastAsia"/>
        </w:rPr>
      </w:pPr>
    </w:p>
    <w:sectPr w:rsidR="00FB4332">
      <w:footerReference w:type="even" r:id="rId7"/>
      <w:footerReference w:type="default" r:id="rId8"/>
      <w:pgSz w:w="11906" w:h="16838" w:code="9"/>
      <w:pgMar w:top="1247" w:right="1247" w:bottom="1247" w:left="1247"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332" w:rsidRDefault="00FB4332">
      <w:r>
        <w:separator/>
      </w:r>
    </w:p>
  </w:endnote>
  <w:endnote w:type="continuationSeparator" w:id="0">
    <w:p w:rsidR="00FB4332" w:rsidRDefault="00FB4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32" w:rsidRDefault="00FB4332">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B4332" w:rsidRDefault="00FB433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32" w:rsidRDefault="00FB4332">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11609">
      <w:rPr>
        <w:rStyle w:val="ab"/>
        <w:noProof/>
      </w:rPr>
      <w:t>1</w:t>
    </w:r>
    <w:r>
      <w:rPr>
        <w:rStyle w:val="ab"/>
      </w:rPr>
      <w:fldChar w:fldCharType="end"/>
    </w:r>
  </w:p>
  <w:p w:rsidR="00FB4332" w:rsidRDefault="00FB433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332" w:rsidRDefault="00FB4332">
      <w:r>
        <w:separator/>
      </w:r>
    </w:p>
  </w:footnote>
  <w:footnote w:type="continuationSeparator" w:id="0">
    <w:p w:rsidR="00FB4332" w:rsidRDefault="00FB43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09A3"/>
    <w:multiLevelType w:val="hybridMultilevel"/>
    <w:tmpl w:val="D15403F2"/>
    <w:lvl w:ilvl="0" w:tplc="E8988FF0">
      <w:start w:val="1"/>
      <w:numFmt w:val="taiwaneseCountingThousand"/>
      <w:lvlText w:val="%1、"/>
      <w:lvlJc w:val="left"/>
      <w:pPr>
        <w:tabs>
          <w:tab w:val="num" w:pos="1584"/>
        </w:tabs>
        <w:ind w:left="1584" w:hanging="624"/>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nsid w:val="09250559"/>
    <w:multiLevelType w:val="hybridMultilevel"/>
    <w:tmpl w:val="6B9E2DB2"/>
    <w:lvl w:ilvl="0" w:tplc="5448A048">
      <w:start w:val="2"/>
      <w:numFmt w:val="taiwaneseCountingThousand"/>
      <w:lvlText w:val="%1、"/>
      <w:lvlJc w:val="left"/>
      <w:pPr>
        <w:tabs>
          <w:tab w:val="num" w:pos="720"/>
        </w:tabs>
        <w:ind w:left="720" w:hanging="480"/>
      </w:pPr>
      <w:rPr>
        <w:rFonts w:ascii="標楷體" w:hAnsi="標楷體"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0FF13F98"/>
    <w:multiLevelType w:val="hybridMultilevel"/>
    <w:tmpl w:val="CE74BB78"/>
    <w:lvl w:ilvl="0" w:tplc="BC4ADA3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20328B"/>
    <w:multiLevelType w:val="hybridMultilevel"/>
    <w:tmpl w:val="6C5ED5AE"/>
    <w:lvl w:ilvl="0" w:tplc="70EECB3E">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2F148A2"/>
    <w:multiLevelType w:val="hybridMultilevel"/>
    <w:tmpl w:val="9896459C"/>
    <w:lvl w:ilvl="0" w:tplc="A8CACAA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67E12DA"/>
    <w:multiLevelType w:val="hybridMultilevel"/>
    <w:tmpl w:val="C45A5BF2"/>
    <w:lvl w:ilvl="0" w:tplc="430C6DB2">
      <w:start w:val="6"/>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4C6EA9"/>
    <w:multiLevelType w:val="hybridMultilevel"/>
    <w:tmpl w:val="14DCBB22"/>
    <w:lvl w:ilvl="0" w:tplc="A8CACAA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EB41423"/>
    <w:multiLevelType w:val="hybridMultilevel"/>
    <w:tmpl w:val="55B2FC0C"/>
    <w:lvl w:ilvl="0" w:tplc="E3F27EB4">
      <w:start w:val="1"/>
      <w:numFmt w:val="ideographLegalTraditional"/>
      <w:lvlText w:val="%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F8203AF"/>
    <w:multiLevelType w:val="hybridMultilevel"/>
    <w:tmpl w:val="E272C05C"/>
    <w:lvl w:ilvl="0" w:tplc="A8CACAA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830829"/>
    <w:multiLevelType w:val="hybridMultilevel"/>
    <w:tmpl w:val="E5A80090"/>
    <w:lvl w:ilvl="0" w:tplc="9182AEC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7B3970"/>
    <w:multiLevelType w:val="hybridMultilevel"/>
    <w:tmpl w:val="0BA4E916"/>
    <w:lvl w:ilvl="0" w:tplc="75965B4A">
      <w:start w:val="1"/>
      <w:numFmt w:val="taiwaneseCountingThousand"/>
      <w:lvlText w:val="%1、"/>
      <w:lvlJc w:val="left"/>
      <w:pPr>
        <w:tabs>
          <w:tab w:val="num" w:pos="624"/>
        </w:tabs>
        <w:ind w:left="624" w:hanging="624"/>
      </w:pPr>
      <w:rPr>
        <w:rFonts w:ascii="Times New Roman" w:hAnsi="Times New Roman"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41A10DF"/>
    <w:multiLevelType w:val="hybridMultilevel"/>
    <w:tmpl w:val="D9E00804"/>
    <w:lvl w:ilvl="0" w:tplc="70EECB3E">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CB13E1"/>
    <w:multiLevelType w:val="hybridMultilevel"/>
    <w:tmpl w:val="BC0CA42C"/>
    <w:lvl w:ilvl="0" w:tplc="9A46DB8E">
      <w:start w:val="1"/>
      <w:numFmt w:val="taiwaneseCountingThousand"/>
      <w:lvlText w:val="%1、"/>
      <w:lvlJc w:val="left"/>
      <w:pPr>
        <w:tabs>
          <w:tab w:val="num" w:pos="624"/>
        </w:tabs>
        <w:ind w:left="624" w:hanging="624"/>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9B81201"/>
    <w:multiLevelType w:val="hybridMultilevel"/>
    <w:tmpl w:val="7DFEE998"/>
    <w:lvl w:ilvl="0" w:tplc="70EECB3E">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5ED59AC"/>
    <w:multiLevelType w:val="hybridMultilevel"/>
    <w:tmpl w:val="A4F4CC4C"/>
    <w:lvl w:ilvl="0" w:tplc="4424A412">
      <w:start w:val="1"/>
      <w:numFmt w:val="ideographLegalTraditional"/>
      <w:lvlText w:val="%1、"/>
      <w:lvlJc w:val="left"/>
      <w:pPr>
        <w:tabs>
          <w:tab w:val="num" w:pos="720"/>
        </w:tabs>
        <w:ind w:left="720" w:hanging="720"/>
      </w:pPr>
      <w:rPr>
        <w:rFonts w:hint="eastAsia"/>
      </w:rPr>
    </w:lvl>
    <w:lvl w:ilvl="1" w:tplc="A5BCB532">
      <w:start w:val="1"/>
      <w:numFmt w:val="taiwaneseCountingThousand"/>
      <w:lvlText w:val="%2、"/>
      <w:lvlJc w:val="left"/>
      <w:pPr>
        <w:tabs>
          <w:tab w:val="num" w:pos="1200"/>
        </w:tabs>
        <w:ind w:left="1200" w:hanging="720"/>
      </w:pPr>
      <w:rPr>
        <w:rFonts w:hint="eastAsia"/>
      </w:rPr>
    </w:lvl>
    <w:lvl w:ilvl="2" w:tplc="6A4424A4">
      <w:start w:val="1"/>
      <w:numFmt w:val="taiwaneseCountingThousand"/>
      <w:lvlText w:val="(%3)"/>
      <w:lvlJc w:val="left"/>
      <w:pPr>
        <w:tabs>
          <w:tab w:val="num" w:pos="1560"/>
        </w:tabs>
        <w:ind w:left="1560" w:hanging="600"/>
      </w:pPr>
      <w:rPr>
        <w:rFonts w:hint="eastAsia"/>
      </w:rPr>
    </w:lvl>
    <w:lvl w:ilvl="3" w:tplc="F4C281C4">
      <w:start w:val="1"/>
      <w:numFmt w:val="decimal"/>
      <w:lvlText w:val="%4."/>
      <w:lvlJc w:val="left"/>
      <w:pPr>
        <w:tabs>
          <w:tab w:val="num" w:pos="1800"/>
        </w:tabs>
        <w:ind w:left="1800" w:hanging="360"/>
      </w:pPr>
      <w:rPr>
        <w:rFonts w:hint="eastAsia"/>
      </w:rPr>
    </w:lvl>
    <w:lvl w:ilvl="4" w:tplc="8F506712">
      <w:start w:val="1"/>
      <w:numFmt w:val="decimal"/>
      <w:lvlText w:val="(%5)"/>
      <w:lvlJc w:val="left"/>
      <w:pPr>
        <w:tabs>
          <w:tab w:val="num" w:pos="2385"/>
        </w:tabs>
        <w:ind w:left="2385" w:hanging="465"/>
      </w:pPr>
      <w:rPr>
        <w:rFonts w:hint="eastAsia"/>
      </w:rPr>
    </w:lvl>
    <w:lvl w:ilvl="5" w:tplc="F85EF056">
      <w:start w:val="1"/>
      <w:numFmt w:val="upperLetter"/>
      <w:lvlText w:val="%6."/>
      <w:lvlJc w:val="left"/>
      <w:pPr>
        <w:tabs>
          <w:tab w:val="num" w:pos="2805"/>
        </w:tabs>
        <w:ind w:left="2805" w:hanging="405"/>
      </w:pPr>
      <w:rPr>
        <w:rFonts w:hint="eastAsia"/>
      </w:rPr>
    </w:lvl>
    <w:lvl w:ilvl="6" w:tplc="187CC070">
      <w:start w:val="1"/>
      <w:numFmt w:val="lowerLetter"/>
      <w:lvlText w:val="%7."/>
      <w:lvlJc w:val="left"/>
      <w:pPr>
        <w:tabs>
          <w:tab w:val="num" w:pos="3240"/>
        </w:tabs>
        <w:ind w:left="3240" w:hanging="360"/>
      </w:pPr>
      <w:rPr>
        <w:rFonts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6D468D6"/>
    <w:multiLevelType w:val="hybridMultilevel"/>
    <w:tmpl w:val="6AB6505C"/>
    <w:lvl w:ilvl="0" w:tplc="A8CACAA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E765C61"/>
    <w:multiLevelType w:val="hybridMultilevel"/>
    <w:tmpl w:val="1CB46D2A"/>
    <w:lvl w:ilvl="0" w:tplc="4DF64E52">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3150900"/>
    <w:multiLevelType w:val="hybridMultilevel"/>
    <w:tmpl w:val="A9FEF7DE"/>
    <w:lvl w:ilvl="0" w:tplc="D884F424">
      <w:start w:val="1"/>
      <w:numFmt w:val="decimal"/>
      <w:lvlText w:val="(%1)"/>
      <w:lvlJc w:val="left"/>
      <w:pPr>
        <w:tabs>
          <w:tab w:val="num" w:pos="465"/>
        </w:tabs>
        <w:ind w:left="465" w:hanging="46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1776C00"/>
    <w:multiLevelType w:val="hybridMultilevel"/>
    <w:tmpl w:val="2C96DD54"/>
    <w:lvl w:ilvl="0" w:tplc="9BBAA09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58A300D"/>
    <w:multiLevelType w:val="hybridMultilevel"/>
    <w:tmpl w:val="512A1944"/>
    <w:lvl w:ilvl="0" w:tplc="53705F24">
      <w:start w:val="1"/>
      <w:numFmt w:val="decimal"/>
      <w:lvlText w:val="(%1)"/>
      <w:lvlJc w:val="left"/>
      <w:pPr>
        <w:tabs>
          <w:tab w:val="num" w:pos="465"/>
        </w:tabs>
        <w:ind w:left="465" w:hanging="46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9CF6543"/>
    <w:multiLevelType w:val="hybridMultilevel"/>
    <w:tmpl w:val="84124618"/>
    <w:lvl w:ilvl="0" w:tplc="596CF0B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C4B13AF"/>
    <w:multiLevelType w:val="hybridMultilevel"/>
    <w:tmpl w:val="C498B6F8"/>
    <w:lvl w:ilvl="0" w:tplc="BEA408E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E222E74"/>
    <w:multiLevelType w:val="hybridMultilevel"/>
    <w:tmpl w:val="D6E83826"/>
    <w:lvl w:ilvl="0" w:tplc="A8CACAA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5"/>
  </w:num>
  <w:num w:numId="3">
    <w:abstractNumId w:val="18"/>
  </w:num>
  <w:num w:numId="4">
    <w:abstractNumId w:val="14"/>
  </w:num>
  <w:num w:numId="5">
    <w:abstractNumId w:val="0"/>
  </w:num>
  <w:num w:numId="6">
    <w:abstractNumId w:val="20"/>
  </w:num>
  <w:num w:numId="7">
    <w:abstractNumId w:val="7"/>
  </w:num>
  <w:num w:numId="8">
    <w:abstractNumId w:val="19"/>
  </w:num>
  <w:num w:numId="9">
    <w:abstractNumId w:val="17"/>
  </w:num>
  <w:num w:numId="10">
    <w:abstractNumId w:val="2"/>
  </w:num>
  <w:num w:numId="11">
    <w:abstractNumId w:val="15"/>
  </w:num>
  <w:num w:numId="12">
    <w:abstractNumId w:val="9"/>
  </w:num>
  <w:num w:numId="13">
    <w:abstractNumId w:val="21"/>
  </w:num>
  <w:num w:numId="14">
    <w:abstractNumId w:val="3"/>
  </w:num>
  <w:num w:numId="15">
    <w:abstractNumId w:val="6"/>
  </w:num>
  <w:num w:numId="16">
    <w:abstractNumId w:val="8"/>
  </w:num>
  <w:num w:numId="17">
    <w:abstractNumId w:val="22"/>
  </w:num>
  <w:num w:numId="18">
    <w:abstractNumId w:val="10"/>
  </w:num>
  <w:num w:numId="19">
    <w:abstractNumId w:val="11"/>
  </w:num>
  <w:num w:numId="20">
    <w:abstractNumId w:val="12"/>
  </w:num>
  <w:num w:numId="21">
    <w:abstractNumId w:val="4"/>
  </w:num>
  <w:num w:numId="22">
    <w:abstractNumId w:val="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2EE3"/>
    <w:rsid w:val="002E2602"/>
    <w:rsid w:val="00711609"/>
    <w:rsid w:val="00CE2EE3"/>
    <w:rsid w:val="00ED39C0"/>
    <w:rsid w:val="00FB43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szCs w:val="24"/>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spacing w:before="100" w:beforeAutospacing="1" w:after="100" w:afterAutospacing="1"/>
    </w:pPr>
    <w:rPr>
      <w:rFonts w:ascii="標楷體" w:hAnsi="Arial Unicode MS" w:cs="Arial Unicode MS"/>
      <w:kern w:val="0"/>
    </w:rPr>
  </w:style>
  <w:style w:type="paragraph" w:styleId="10">
    <w:name w:val="toc 1"/>
    <w:aliases w:val="樣式1"/>
    <w:basedOn w:val="1"/>
    <w:semiHidden/>
    <w:pPr>
      <w:spacing w:line="240" w:lineRule="auto"/>
    </w:pPr>
    <w:rPr>
      <w:rFonts w:cs="Arial"/>
      <w:color w:val="000000"/>
      <w:sz w:val="36"/>
      <w:szCs w:val="36"/>
    </w:rPr>
  </w:style>
  <w:style w:type="paragraph" w:styleId="a3">
    <w:name w:val="Title"/>
    <w:basedOn w:val="a"/>
    <w:qFormat/>
    <w:pPr>
      <w:spacing w:before="240" w:after="60"/>
      <w:jc w:val="center"/>
      <w:outlineLvl w:val="0"/>
    </w:pPr>
    <w:rPr>
      <w:rFonts w:ascii="Arial" w:hAnsi="Arial" w:cs="Arial"/>
      <w:b/>
      <w:bCs/>
      <w:sz w:val="32"/>
      <w:szCs w:val="32"/>
    </w:rPr>
  </w:style>
  <w:style w:type="paragraph" w:styleId="a4">
    <w:name w:val="Body Text"/>
    <w:basedOn w:val="a"/>
    <w:pPr>
      <w:jc w:val="both"/>
    </w:pPr>
    <w:rPr>
      <w:rFonts w:ascii="標楷體" w:hAnsi="標楷體"/>
      <w:szCs w:val="27"/>
    </w:rPr>
  </w:style>
  <w:style w:type="paragraph" w:styleId="a5">
    <w:name w:val="Body Text Indent"/>
    <w:basedOn w:val="a"/>
    <w:pPr>
      <w:ind w:firstLineChars="225" w:firstLine="540"/>
      <w:jc w:val="both"/>
    </w:pPr>
    <w:rPr>
      <w:rFonts w:ascii="標楷體" w:hAnsi="標楷體"/>
    </w:rPr>
  </w:style>
  <w:style w:type="paragraph" w:styleId="2">
    <w:name w:val="Body Text Indent 2"/>
    <w:basedOn w:val="a"/>
    <w:pPr>
      <w:snapToGrid w:val="0"/>
      <w:ind w:firstLineChars="225" w:firstLine="630"/>
      <w:jc w:val="both"/>
    </w:pPr>
    <w:rPr>
      <w:rFonts w:ascii="標楷體" w:hAnsi="標楷體"/>
      <w:sz w:val="28"/>
    </w:rPr>
  </w:style>
  <w:style w:type="paragraph" w:customStyle="1" w:styleId="h8">
    <w:name w:val="h8"/>
    <w:basedOn w:val="a"/>
    <w:pPr>
      <w:widowControl/>
      <w:spacing w:before="100" w:beforeAutospacing="1" w:after="100" w:afterAutospacing="1"/>
    </w:pPr>
    <w:rPr>
      <w:rFonts w:ascii="標楷體" w:hAnsi="Arial Unicode MS" w:cs="Arial Unicode MS" w:hint="eastAsia"/>
      <w:color w:val="000000"/>
      <w:kern w:val="0"/>
      <w:sz w:val="26"/>
      <w:szCs w:val="26"/>
    </w:rPr>
  </w:style>
  <w:style w:type="paragraph" w:customStyle="1" w:styleId="h5">
    <w:name w:val="h5"/>
    <w:basedOn w:val="a"/>
    <w:pPr>
      <w:widowControl/>
      <w:spacing w:before="100" w:beforeAutospacing="1" w:after="100" w:afterAutospacing="1"/>
    </w:pPr>
    <w:rPr>
      <w:rFonts w:ascii="標楷體" w:hAnsi="Arial Unicode MS" w:cs="Arial Unicode MS" w:hint="eastAsia"/>
      <w:color w:val="000000"/>
      <w:kern w:val="0"/>
      <w:sz w:val="32"/>
      <w:szCs w:val="32"/>
    </w:rPr>
  </w:style>
  <w:style w:type="paragraph" w:customStyle="1" w:styleId="h3">
    <w:name w:val="h3"/>
    <w:basedOn w:val="a"/>
    <w:pPr>
      <w:widowControl/>
      <w:spacing w:before="100" w:beforeAutospacing="1" w:after="100" w:afterAutospacing="1"/>
    </w:pPr>
    <w:rPr>
      <w:rFonts w:ascii="標楷體" w:hAnsi="Arial Unicode MS" w:cs="Arial Unicode MS" w:hint="eastAsia"/>
      <w:b/>
      <w:bCs/>
      <w:color w:val="000000"/>
      <w:kern w:val="0"/>
      <w:sz w:val="40"/>
      <w:szCs w:val="40"/>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3">
    <w:name w:val="Body Text Indent 3"/>
    <w:basedOn w:val="a"/>
    <w:pPr>
      <w:ind w:left="480" w:hangingChars="200" w:hanging="480"/>
      <w:jc w:val="both"/>
    </w:pPr>
    <w:rPr>
      <w:rFonts w:ascii="標楷體" w:hAnsi="標楷體" w:cs="Arial Unicode MS"/>
      <w:color w:val="FF0000"/>
      <w:kern w:val="0"/>
    </w:rPr>
  </w:style>
  <w:style w:type="paragraph" w:styleId="a8">
    <w:name w:val="Balloon Text"/>
    <w:basedOn w:val="a"/>
    <w:semiHidden/>
    <w:rPr>
      <w:rFonts w:ascii="Arial" w:eastAsia="新細明體" w:hAnsi="Arial"/>
      <w:sz w:val="18"/>
      <w:szCs w:val="18"/>
    </w:rPr>
  </w:style>
  <w:style w:type="paragraph" w:styleId="a9">
    <w:name w:val="Salutation"/>
    <w:basedOn w:val="a"/>
    <w:next w:val="a"/>
    <w:rPr>
      <w:rFonts w:ascii="標楷體" w:hAnsi="標楷體"/>
    </w:rPr>
  </w:style>
  <w:style w:type="paragraph" w:styleId="aa">
    <w:name w:val="Closing"/>
    <w:basedOn w:val="a"/>
    <w:pPr>
      <w:ind w:leftChars="1800" w:left="100"/>
    </w:pPr>
    <w:rPr>
      <w:rFonts w:ascii="標楷體" w:hAnsi="標楷體"/>
    </w:rPr>
  </w:style>
  <w:style w:type="character" w:styleId="ab">
    <w:name w:val="page number"/>
    <w:basedOn w:val="a0"/>
  </w:style>
  <w:style w:type="character" w:styleId="ac">
    <w:name w:val="annotation reference"/>
    <w:basedOn w:val="a0"/>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20">
    <w:name w:val="Body Text 2"/>
    <w:basedOn w:val="a"/>
    <w:pPr>
      <w:jc w:val="center"/>
    </w:pPr>
    <w:rPr>
      <w:sz w:val="40"/>
      <w:szCs w:val="3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1352</Words>
  <Characters>79</Characters>
  <Application>Microsoft Office Word</Application>
  <DocSecurity>0</DocSecurity>
  <Lines>1</Lines>
  <Paragraphs>2</Paragraphs>
  <ScaleCrop>false</ScaleCrop>
  <Company>stlc</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940202修正條文對照表與制定/修正說明</dc:title>
  <dc:creator>charlenechiu</dc:creator>
  <cp:lastModifiedBy>user</cp:lastModifiedBy>
  <cp:revision>4</cp:revision>
  <cp:lastPrinted>2010-06-11T08:56:00Z</cp:lastPrinted>
  <dcterms:created xsi:type="dcterms:W3CDTF">2016-10-14T02:02:00Z</dcterms:created>
  <dcterms:modified xsi:type="dcterms:W3CDTF">2016-10-14T02:06:00Z</dcterms:modified>
</cp:coreProperties>
</file>