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87F6" w14:textId="77777777" w:rsidR="000046AF" w:rsidRDefault="001877EF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color w:val="000000"/>
          <w:sz w:val="32"/>
        </w:rPr>
        <w:t>股份有限公司（閉鎖性）</w:t>
      </w:r>
    </w:p>
    <w:p w14:paraId="1EB19BEC" w14:textId="77777777" w:rsidR="000046AF" w:rsidRDefault="001877EF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</w:rPr>
      </w:pPr>
      <w:bookmarkStart w:id="1" w:name="公司章程"/>
      <w:r>
        <w:rPr>
          <w:rFonts w:ascii="標楷體" w:eastAsia="標楷體" w:hAnsi="標楷體" w:cs="標楷體"/>
          <w:b/>
          <w:bCs/>
          <w:color w:val="000000"/>
          <w:sz w:val="32"/>
        </w:rPr>
        <w:t>公司章程</w:t>
      </w:r>
      <w:bookmarkEnd w:id="1"/>
    </w:p>
    <w:p w14:paraId="1EB75F03" w14:textId="77777777" w:rsidR="000046AF" w:rsidRDefault="000046AF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</w:rPr>
      </w:pPr>
    </w:p>
    <w:p w14:paraId="7BC4CB5B" w14:textId="77777777" w:rsidR="000046AF" w:rsidRDefault="001877EF">
      <w:pPr>
        <w:pStyle w:val="Standard"/>
        <w:snapToGrid w:val="0"/>
        <w:jc w:val="center"/>
        <w:rPr>
          <w:rFonts w:ascii="標楷體" w:eastAsia="標楷體" w:hAnsi="標楷體" w:cs="標楷體"/>
          <w:color w:val="FF0000"/>
          <w:shd w:val="clear" w:color="auto" w:fill="FFFF00"/>
        </w:rPr>
      </w:pPr>
      <w:r>
        <w:rPr>
          <w:rFonts w:ascii="標楷體" w:eastAsia="標楷體" w:hAnsi="標楷體" w:cs="標楷體"/>
          <w:color w:val="FF0000"/>
          <w:shd w:val="clear" w:color="auto" w:fill="FFFF00"/>
        </w:rPr>
        <w:t>「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★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」標記者為章程必要記載事項；其餘條文應視公司需求決定是否訂明。</w:t>
      </w:r>
    </w:p>
    <w:p w14:paraId="47BA5706" w14:textId="77777777" w:rsidR="000046AF" w:rsidRDefault="000046AF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</w:rPr>
      </w:pPr>
    </w:p>
    <w:p w14:paraId="52A9497C" w14:textId="77777777" w:rsidR="000046AF" w:rsidRDefault="001877E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第一章總則</w:t>
      </w:r>
    </w:p>
    <w:tbl>
      <w:tblPr>
        <w:tblW w:w="952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168"/>
        <w:gridCol w:w="7891"/>
      </w:tblGrid>
      <w:tr w:rsidR="000046AF" w14:paraId="37EF7C58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4FEC0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DEA62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59B3F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本公司依照公司法規定組織之，定名為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股份有限公司。</w:t>
            </w:r>
          </w:p>
          <w:p w14:paraId="0C51C497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本公司英文名稱為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</w:rPr>
              <w:t>。</w:t>
            </w:r>
            <w:commentRangeStart w:id="2"/>
            <w:r>
              <w:rPr>
                <w:rFonts w:ascii="標楷體" w:eastAsia="標楷體" w:hAnsi="標楷體" w:cs="標楷體"/>
              </w:rPr>
              <w:t>)</w:t>
            </w:r>
            <w:commentRangeEnd w:id="2"/>
            <w:r>
              <w:commentReference w:id="2"/>
            </w:r>
          </w:p>
        </w:tc>
      </w:tr>
      <w:tr w:rsidR="000046AF" w14:paraId="335913ED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20B3D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62A1C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A2CE4" w14:textId="77777777" w:rsidR="000046AF" w:rsidRDefault="001877EF">
            <w:pPr>
              <w:pStyle w:val="Standard"/>
              <w:snapToGrid w:val="0"/>
            </w:pPr>
            <w:r>
              <w:rPr>
                <w:rFonts w:eastAsia="標楷體"/>
                <w:color w:val="000000"/>
              </w:rPr>
              <w:t>本公司為閉鎖性股份有限公司。</w:t>
            </w:r>
          </w:p>
        </w:tc>
      </w:tr>
      <w:tr w:rsidR="000046AF" w14:paraId="3353911F" w14:textId="77777777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E308E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9A009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D5B33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本公司所營事業如下：</w:t>
            </w:r>
          </w:p>
          <w:p w14:paraId="75A09CE0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</w:p>
          <w:p w14:paraId="2DAF260D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commentRangeStart w:id="3"/>
            <w:r>
              <w:rPr>
                <w:rFonts w:ascii="標楷體" w:eastAsia="標楷體" w:hAnsi="標楷體" w:cs="標楷體"/>
                <w:color w:val="000000"/>
              </w:rPr>
              <w:t>ZZ99999</w:t>
            </w:r>
            <w:commentRangeEnd w:id="3"/>
            <w:r>
              <w:commentReference w:id="3"/>
            </w:r>
            <w:r>
              <w:rPr>
                <w:rFonts w:ascii="標楷體" w:eastAsia="標楷體" w:hAnsi="標楷體" w:cs="標楷體"/>
                <w:color w:val="000000"/>
              </w:rPr>
              <w:t>除許可業務外，得經營法令非禁止或限制之業務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。</w:t>
            </w:r>
          </w:p>
        </w:tc>
      </w:tr>
      <w:tr w:rsidR="000046AF" w14:paraId="019B6DC5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32848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D19B7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046DE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本公司設總公司於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（縣／市），必要時經董事會之決議得在國內外設立分公司</w:t>
            </w:r>
            <w:commentRangeStart w:id="4"/>
            <w:r>
              <w:rPr>
                <w:rFonts w:ascii="標楷體" w:eastAsia="標楷體" w:hAnsi="標楷體" w:cs="標楷體"/>
                <w:color w:val="000000"/>
              </w:rPr>
              <w:t>。</w:t>
            </w:r>
            <w:commentRangeEnd w:id="4"/>
            <w:r>
              <w:commentReference w:id="4"/>
            </w:r>
          </w:p>
        </w:tc>
      </w:tr>
      <w:tr w:rsidR="000046AF" w14:paraId="70172AAC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EDE1B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B8CDA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73A5F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本公司之公告方法依照公司法第</w:t>
            </w:r>
            <w:r>
              <w:rPr>
                <w:rFonts w:ascii="標楷體" w:eastAsia="標楷體" w:hAnsi="標楷體" w:cs="標楷體"/>
                <w:color w:val="000000"/>
              </w:rPr>
              <w:t>28</w:t>
            </w:r>
            <w:r>
              <w:rPr>
                <w:rFonts w:ascii="標楷體" w:eastAsia="標楷體" w:hAnsi="標楷體" w:cs="標楷體"/>
                <w:color w:val="000000"/>
              </w:rPr>
              <w:t>條規定辦理。</w:t>
            </w:r>
          </w:p>
        </w:tc>
      </w:tr>
      <w:tr w:rsidR="000046AF" w14:paraId="5878F481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CF25C" w14:textId="77777777" w:rsidR="000046AF" w:rsidRDefault="000046A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A803A" w14:textId="77777777" w:rsidR="000046AF" w:rsidRDefault="001877E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5EB83" w14:textId="77777777" w:rsidR="000046AF" w:rsidRDefault="001877E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本公司為業務需要得對外保證。</w:t>
            </w:r>
          </w:p>
        </w:tc>
      </w:tr>
    </w:tbl>
    <w:p w14:paraId="3348D2B4" w14:textId="77777777" w:rsidR="000046AF" w:rsidRDefault="000046A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</w:p>
    <w:p w14:paraId="0BC81511" w14:textId="77777777" w:rsidR="000046AF" w:rsidRDefault="001877E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第二章　股份</w:t>
      </w:r>
    </w:p>
    <w:tbl>
      <w:tblPr>
        <w:tblW w:w="952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168"/>
        <w:gridCol w:w="7891"/>
      </w:tblGrid>
      <w:tr w:rsidR="000046AF" w14:paraId="35EF022C" w14:textId="77777777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CE034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1F91D" w14:textId="77777777" w:rsidR="000046AF" w:rsidRDefault="001877EF">
            <w:pPr>
              <w:pStyle w:val="Standard"/>
              <w:snapToGrid w:val="0"/>
            </w:pPr>
            <w:commentRangeStart w:id="5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5"/>
            <w:r>
              <w:commentReference w:id="5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EBFA6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本公司資本額定為新臺幣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元，分為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股，每股金額新臺幣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元，分次發行。</w:t>
            </w:r>
          </w:p>
          <w:p w14:paraId="3CDB35A5" w14:textId="77777777" w:rsidR="000046AF" w:rsidRDefault="001877E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（或</w:t>
            </w:r>
          </w:p>
          <w:p w14:paraId="40A5DBD3" w14:textId="77777777" w:rsidR="000046AF" w:rsidRDefault="001877E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本公司採無票面金額股，資本分為</w:t>
            </w:r>
            <w:r>
              <w:rPr>
                <w:rFonts w:ascii="標楷體" w:eastAsia="標楷體" w:hAnsi="標楷體" w:cs="標楷體"/>
                <w:color w:val="000000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</w:rPr>
              <w:t>股，得分次發行。）</w:t>
            </w:r>
          </w:p>
        </w:tc>
      </w:tr>
      <w:tr w:rsidR="000046AF" w14:paraId="52AE4452" w14:textId="77777777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327A1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41692" w14:textId="77777777" w:rsidR="000046AF" w:rsidRDefault="001877EF">
            <w:pPr>
              <w:pStyle w:val="Standard"/>
              <w:snapToGrid w:val="0"/>
            </w:pPr>
            <w:commentRangeStart w:id="6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6"/>
            <w:r>
              <w:commentReference w:id="6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292AA" w14:textId="77777777" w:rsidR="000046AF" w:rsidRDefault="001877E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本公司以技術或勞務出資之種類、抵充之數額、核給之股數如下：</w:t>
            </w:r>
          </w:p>
          <w:tbl>
            <w:tblPr>
              <w:tblW w:w="74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84"/>
              <w:gridCol w:w="2484"/>
              <w:gridCol w:w="2495"/>
            </w:tblGrid>
            <w:tr w:rsidR="000046AF" w14:paraId="258597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CA1635D" w14:textId="77777777" w:rsidR="000046AF" w:rsidRDefault="001877E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出資種類</w:t>
                  </w:r>
                </w:p>
              </w:tc>
              <w:tc>
                <w:tcPr>
                  <w:tcW w:w="2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6DDE4B" w14:textId="77777777" w:rsidR="000046AF" w:rsidRDefault="001877E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抵充之數額</w:t>
                  </w:r>
                </w:p>
              </w:tc>
              <w:tc>
                <w:tcPr>
                  <w:tcW w:w="2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FF5D8A8" w14:textId="77777777" w:rsidR="000046AF" w:rsidRDefault="001877EF">
                  <w:pPr>
                    <w:pStyle w:val="Standard"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核給之股數</w:t>
                  </w:r>
                </w:p>
              </w:tc>
            </w:tr>
            <w:tr w:rsidR="000046AF" w14:paraId="08AC57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10178EA" w14:textId="77777777" w:rsidR="000046AF" w:rsidRDefault="000046AF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hd w:val="clear" w:color="auto" w:fill="00FFFF"/>
                    </w:rPr>
                  </w:pPr>
                </w:p>
              </w:tc>
              <w:tc>
                <w:tcPr>
                  <w:tcW w:w="2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08867A7" w14:textId="77777777" w:rsidR="000046AF" w:rsidRDefault="000046AF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hd w:val="clear" w:color="auto" w:fill="00FFFF"/>
                    </w:rPr>
                  </w:pPr>
                </w:p>
              </w:tc>
              <w:tc>
                <w:tcPr>
                  <w:tcW w:w="2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BFD1F74" w14:textId="77777777" w:rsidR="000046AF" w:rsidRDefault="000046AF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hd w:val="clear" w:color="auto" w:fill="00FFFF"/>
                    </w:rPr>
                  </w:pPr>
                </w:p>
              </w:tc>
            </w:tr>
            <w:tr w:rsidR="000046AF" w14:paraId="3E094E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8"/>
              </w:trPr>
              <w:tc>
                <w:tcPr>
                  <w:tcW w:w="2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B6A3BC" w14:textId="77777777" w:rsidR="000046AF" w:rsidRDefault="000046AF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hd w:val="clear" w:color="auto" w:fill="00FFFF"/>
                    </w:rPr>
                  </w:pPr>
                </w:p>
              </w:tc>
              <w:tc>
                <w:tcPr>
                  <w:tcW w:w="2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7B44A10" w14:textId="77777777" w:rsidR="000046AF" w:rsidRDefault="000046AF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hd w:val="clear" w:color="auto" w:fill="00FFFF"/>
                    </w:rPr>
                  </w:pPr>
                </w:p>
              </w:tc>
              <w:tc>
                <w:tcPr>
                  <w:tcW w:w="2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A8A130B" w14:textId="77777777" w:rsidR="000046AF" w:rsidRDefault="000046AF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標楷體"/>
                      <w:color w:val="000000"/>
                      <w:shd w:val="clear" w:color="auto" w:fill="00FFFF"/>
                    </w:rPr>
                  </w:pPr>
                </w:p>
              </w:tc>
            </w:tr>
          </w:tbl>
          <w:p w14:paraId="06179B52" w14:textId="77777777" w:rsidR="000046AF" w:rsidRDefault="000046A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</w:tr>
      <w:tr w:rsidR="000046AF" w14:paraId="0D36D81A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FEC16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0C9DC" w14:textId="77777777" w:rsidR="000046AF" w:rsidRDefault="001877EF">
            <w:pPr>
              <w:pStyle w:val="Standard"/>
              <w:snapToGrid w:val="0"/>
            </w:pPr>
            <w:commentRangeStart w:id="7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7"/>
            <w:r>
              <w:commentReference w:id="7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CA370" w14:textId="77777777" w:rsidR="000046AF" w:rsidRDefault="001877EF">
            <w:pPr>
              <w:pStyle w:val="Standard"/>
              <w:snapToGrid w:val="0"/>
              <w:ind w:left="480" w:hanging="480"/>
            </w:pPr>
            <w:r>
              <w:rPr>
                <w:rFonts w:eastAsia="標楷體"/>
                <w:color w:val="000000"/>
              </w:rPr>
              <w:t>股東轉讓股份時，應得其他股東事前之同意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</w:tr>
      <w:tr w:rsidR="000046AF" w14:paraId="386CEF88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D0AB5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06A23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4BD3E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股東名簿記載之變更，於股東常會開會前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  <w:r>
              <w:rPr>
                <w:rFonts w:ascii="標楷體" w:eastAsia="標楷體" w:hAnsi="標楷體" w:cs="標楷體"/>
                <w:color w:val="000000"/>
              </w:rPr>
              <w:t>日內，股東臨時會開會前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日內，或公司決定分派股息及紅利或其他利益之基準日前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日內，不得為之。</w:t>
            </w:r>
          </w:p>
        </w:tc>
      </w:tr>
      <w:tr w:rsidR="000046AF" w14:paraId="5642998E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DFF8F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1F1E7" w14:textId="77777777" w:rsidR="000046AF" w:rsidRDefault="001877EF">
            <w:pPr>
              <w:pStyle w:val="Standard"/>
              <w:snapToGrid w:val="0"/>
            </w:pPr>
            <w:commentRangeStart w:id="8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11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8"/>
            <w:r>
              <w:commentReference w:id="8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A2CC4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本公司依公司法收買之庫藏股，轉讓之對象包括符合一定條件（或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  <w:p w14:paraId="5BB45329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本公司員工認股權憑證發給對象，包括符合一定條件（或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  <w:p w14:paraId="2FE744AE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本公司發行限制員工權利新股之對象包括符合一定條件（或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</w:tc>
      </w:tr>
    </w:tbl>
    <w:p w14:paraId="5409CE54" w14:textId="77777777" w:rsidR="000046AF" w:rsidRDefault="000046AF">
      <w:pPr>
        <w:pStyle w:val="Standard"/>
      </w:pPr>
    </w:p>
    <w:p w14:paraId="173D3C04" w14:textId="77777777" w:rsidR="000046AF" w:rsidRDefault="001877E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第三章　股東會</w:t>
      </w:r>
    </w:p>
    <w:tbl>
      <w:tblPr>
        <w:tblW w:w="952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168"/>
        <w:gridCol w:w="7891"/>
      </w:tblGrid>
      <w:tr w:rsidR="000046AF" w14:paraId="2ED54312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43494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1E46A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47766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股東會分常會及臨時會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種。常會每年至少召集一次，於每會計年度終了後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個月內由董事會依法召開；臨時會於必要時依法召集之。</w:t>
            </w:r>
          </w:p>
        </w:tc>
      </w:tr>
      <w:tr w:rsidR="000046AF" w14:paraId="21823D52" w14:textId="77777777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ADA29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041D1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B9D07B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本公司股東會開會時，得以視訊會議或其他經中央主管機關公告之方式為之。</w:t>
            </w:r>
          </w:p>
          <w:p w14:paraId="177FEBB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於經全體股東同意，股東就當次股東會議案得以書面方式行使其表決權，而不實際集會。</w:t>
            </w:r>
          </w:p>
        </w:tc>
      </w:tr>
      <w:tr w:rsidR="000046AF" w14:paraId="1FB1907B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73FF8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DC40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5ACC3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本公司各股東，每股有一表決權。但公司依法持有自己之股份，無表決權。</w:t>
            </w:r>
          </w:p>
        </w:tc>
      </w:tr>
      <w:tr w:rsidR="000046AF" w14:paraId="0C88DD8F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077C7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FF6DD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E79F1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股東會之決議，除公司法另有規定外，應有代表已發行股份總數過半數股東之出席，以出席股東表決權過半數之同意行之。</w:t>
            </w:r>
          </w:p>
        </w:tc>
      </w:tr>
      <w:tr w:rsidR="000046AF" w14:paraId="7155D525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A8639A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2150A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16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DF17C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本公司僅為政府或法人股東一人所組織時，股東會職權由董事會行使，不適用本章程有關股東會之規定。</w:t>
            </w:r>
          </w:p>
        </w:tc>
      </w:tr>
    </w:tbl>
    <w:p w14:paraId="04DEE801" w14:textId="77777777" w:rsidR="000046AF" w:rsidRDefault="000046A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</w:p>
    <w:p w14:paraId="76770FB4" w14:textId="77777777" w:rsidR="000046AF" w:rsidRDefault="001877E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第四章　董事及監察人</w:t>
      </w:r>
    </w:p>
    <w:tbl>
      <w:tblPr>
        <w:tblW w:w="952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168"/>
        <w:gridCol w:w="7891"/>
      </w:tblGrid>
      <w:tr w:rsidR="000046AF" w14:paraId="13020BBC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26613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059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2C025" w14:textId="77777777" w:rsidR="000046AF" w:rsidRDefault="001877EF">
            <w:pPr>
              <w:pStyle w:val="Standard"/>
              <w:snapToGrid w:val="0"/>
            </w:pPr>
            <w:commentRangeStart w:id="9"/>
            <w:r>
              <w:rPr>
                <w:rFonts w:ascii="標楷體" w:eastAsia="標楷體" w:hAnsi="標楷體" w:cs="標楷體"/>
                <w:color w:val="FFFFFF"/>
              </w:rPr>
              <w:t>方案Ａ</w:t>
            </w:r>
            <w:commentRangeEnd w:id="9"/>
            <w:r>
              <w:commentReference w:id="9"/>
            </w:r>
            <w:r>
              <w:rPr>
                <w:rFonts w:ascii="標楷體" w:eastAsia="標楷體" w:hAnsi="標楷體" w:cs="標楷體"/>
                <w:color w:val="FFFFFF"/>
              </w:rPr>
              <w:t>：公司設董事</w:t>
            </w:r>
            <w:r>
              <w:rPr>
                <w:rFonts w:ascii="標楷體" w:eastAsia="標楷體" w:hAnsi="標楷體" w:cs="標楷體"/>
                <w:color w:val="FFFFFF"/>
              </w:rPr>
              <w:t>3</w:t>
            </w:r>
            <w:r>
              <w:rPr>
                <w:rFonts w:ascii="標楷體" w:eastAsia="標楷體" w:hAnsi="標楷體" w:cs="標楷體"/>
                <w:color w:val="FFFFFF"/>
              </w:rPr>
              <w:t>人以上</w:t>
            </w:r>
          </w:p>
        </w:tc>
      </w:tr>
      <w:tr w:rsidR="000046AF" w14:paraId="5A0CE3EF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8D8EE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6F931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17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29CFA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本公司設董事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人，監察人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人，任期三年，由股東會就有行為能力之人選任，得連選連任。</w:t>
            </w:r>
          </w:p>
        </w:tc>
      </w:tr>
      <w:tr w:rsidR="000046AF" w14:paraId="14E0F3E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11BBF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232A5" w14:textId="77777777" w:rsidR="000046AF" w:rsidRDefault="001877EF">
            <w:pPr>
              <w:pStyle w:val="Standard"/>
              <w:snapToGrid w:val="0"/>
            </w:pPr>
            <w:commentRangeStart w:id="10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18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0"/>
            <w:r>
              <w:commentReference w:id="10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89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DCFFD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董事會由董事組織之，由三分之二以上董事之出席，及出席董事過半數之同意互選董事長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人及副董事長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人，董事長對外代表公司。</w:t>
            </w:r>
          </w:p>
        </w:tc>
      </w:tr>
      <w:tr w:rsidR="000046AF" w14:paraId="6B65096C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9BA57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E51C7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89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425A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董事開會時，董事得由其他董事代理出席。</w:t>
            </w:r>
          </w:p>
        </w:tc>
      </w:tr>
      <w:tr w:rsidR="000046AF" w14:paraId="4AADD702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77650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29B20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60013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046AF" w14:paraId="645E3557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E362E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059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13D01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  <w:r>
              <w:rPr>
                <w:rFonts w:ascii="標楷體" w:eastAsia="標楷體" w:hAnsi="標楷體" w:cs="標楷體"/>
                <w:color w:val="FFFFFF"/>
              </w:rPr>
              <w:t>方案Ｂ：公司設董事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人，不設董事會</w:t>
            </w:r>
          </w:p>
        </w:tc>
      </w:tr>
      <w:tr w:rsidR="000046AF" w14:paraId="461027EE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12C9D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94CFE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17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B6A76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本公司不設董事會。</w:t>
            </w:r>
          </w:p>
        </w:tc>
      </w:tr>
      <w:tr w:rsidR="000046AF" w14:paraId="09E6D940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8A0FC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4E759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18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C084B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本公司設董事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人，監察人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人，任期三年，由股東會就有行為能力之人選任，連選得連任，並以其為董事長，董事會之職權並由該董事行使，不適用公司法有關董事會之規定。</w:t>
            </w:r>
          </w:p>
        </w:tc>
      </w:tr>
      <w:tr w:rsidR="000046AF" w14:paraId="11039052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921F8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9305C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130A2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046AF" w14:paraId="71AEC60A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4489E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059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2C36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  <w:r>
              <w:rPr>
                <w:rFonts w:ascii="標楷體" w:eastAsia="標楷體" w:hAnsi="標楷體" w:cs="標楷體"/>
                <w:color w:val="FFFFFF"/>
              </w:rPr>
              <w:t>方案Ｃ：公司設董事</w:t>
            </w:r>
            <w:r>
              <w:rPr>
                <w:rFonts w:ascii="標楷體" w:eastAsia="標楷體" w:hAnsi="標楷體" w:cs="標楷體"/>
                <w:color w:val="FFFFFF"/>
              </w:rPr>
              <w:t>2</w:t>
            </w:r>
            <w:r>
              <w:rPr>
                <w:rFonts w:ascii="標楷體" w:eastAsia="標楷體" w:hAnsi="標楷體" w:cs="標楷體"/>
                <w:color w:val="FFFFFF"/>
              </w:rPr>
              <w:t>人，不設董事會</w:t>
            </w:r>
          </w:p>
        </w:tc>
      </w:tr>
      <w:tr w:rsidR="000046AF" w14:paraId="6FA01E17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0715B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9967D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17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EF881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本公司不設董事會。</w:t>
            </w:r>
          </w:p>
        </w:tc>
      </w:tr>
      <w:tr w:rsidR="000046AF" w14:paraId="469B5987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F3F28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6C377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18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56F4A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本公司設董事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人，監察人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人，任期三年，由股東會就有行為能力之人選任，連選得連任，並準用公司法有關董事會之規定。</w:t>
            </w:r>
          </w:p>
        </w:tc>
      </w:tr>
      <w:tr w:rsidR="000046AF" w14:paraId="78637883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65C65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strike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36C0D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strike/>
                <w:color w:val="000000"/>
              </w:rPr>
            </w:pP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51501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strike/>
                <w:color w:val="000000"/>
              </w:rPr>
            </w:pPr>
          </w:p>
        </w:tc>
      </w:tr>
      <w:tr w:rsidR="000046AF" w14:paraId="7F246EAC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33FCA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strike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2E82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19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C362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於經本公司全體董事同意，董事就當次董事會議案得以書面方式行使表決權，而不實際集會。</w:t>
            </w:r>
          </w:p>
        </w:tc>
      </w:tr>
      <w:tr w:rsidR="000046AF" w14:paraId="428FE1EB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6C827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949D4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20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1EC54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全體董事及監察人之報酬，如下：＿＿＿。</w:t>
            </w:r>
          </w:p>
          <w:p w14:paraId="59D45A0F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（或　全體董事及監察人之報酬，授權董事會議依</w:t>
            </w:r>
            <w:commentRangeStart w:id="11"/>
            <w:r>
              <w:rPr>
                <w:rFonts w:ascii="標楷體" w:eastAsia="標楷體" w:hAnsi="標楷體" w:cs="標楷體"/>
                <w:color w:val="000000"/>
              </w:rPr>
              <w:t>同業通常水準</w:t>
            </w:r>
            <w:commentRangeEnd w:id="11"/>
            <w:r>
              <w:commentReference w:id="11"/>
            </w:r>
            <w:r>
              <w:rPr>
                <w:rFonts w:ascii="標楷體" w:eastAsia="標楷體" w:hAnsi="標楷體" w:cs="標楷體"/>
                <w:color w:val="000000"/>
              </w:rPr>
              <w:t>支給之。）</w:t>
            </w:r>
          </w:p>
        </w:tc>
      </w:tr>
      <w:tr w:rsidR="000046AF" w14:paraId="22821DB3" w14:textId="77777777">
        <w:tblPrEx>
          <w:tblCellMar>
            <w:top w:w="0" w:type="dxa"/>
            <w:bottom w:w="0" w:type="dxa"/>
          </w:tblCellMar>
        </w:tblPrEx>
        <w:tc>
          <w:tcPr>
            <w:tcW w:w="4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DAC080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7B6F4" w14:textId="77777777" w:rsidR="000046AF" w:rsidRDefault="001877EF">
            <w:pPr>
              <w:pStyle w:val="Standard"/>
              <w:snapToGrid w:val="0"/>
            </w:pPr>
            <w:commentRangeStart w:id="12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21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2"/>
            <w:r>
              <w:commentReference w:id="12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789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2A147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本公司發起人及股東會選任董事及監察人之方式為：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</w:tr>
    </w:tbl>
    <w:p w14:paraId="74BA2DFF" w14:textId="77777777" w:rsidR="000046AF" w:rsidRDefault="001877EF">
      <w:pPr>
        <w:pStyle w:val="Standard"/>
        <w:pageBreakBefore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lastRenderedPageBreak/>
        <w:t>第五章　經理人</w:t>
      </w: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168"/>
        <w:gridCol w:w="8032"/>
      </w:tblGrid>
      <w:tr w:rsidR="000046AF" w14:paraId="0914AF17" w14:textId="77777777">
        <w:tblPrEx>
          <w:tblCellMar>
            <w:top w:w="0" w:type="dxa"/>
            <w:bottom w:w="0" w:type="dxa"/>
          </w:tblCellMar>
        </w:tblPrEx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84E7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E4FBC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5B385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本公司得設經理人，其委任、解任及報酬，依照公司法第</w:t>
            </w:r>
            <w:r>
              <w:rPr>
                <w:rFonts w:ascii="標楷體" w:eastAsia="標楷體" w:hAnsi="標楷體" w:cs="標楷體"/>
                <w:color w:val="000000"/>
              </w:rPr>
              <w:t>29</w:t>
            </w:r>
            <w:r>
              <w:rPr>
                <w:rFonts w:ascii="標楷體" w:eastAsia="標楷體" w:hAnsi="標楷體" w:cs="標楷體"/>
                <w:color w:val="000000"/>
              </w:rPr>
              <w:t>條規定辦理。</w:t>
            </w:r>
          </w:p>
        </w:tc>
      </w:tr>
    </w:tbl>
    <w:p w14:paraId="798DBA8D" w14:textId="77777777" w:rsidR="000046AF" w:rsidRDefault="000046A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</w:p>
    <w:p w14:paraId="4D3AB213" w14:textId="77777777" w:rsidR="000046AF" w:rsidRDefault="001877EF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第六章　會計</w:t>
      </w:r>
    </w:p>
    <w:tbl>
      <w:tblPr>
        <w:tblW w:w="96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168"/>
        <w:gridCol w:w="8032"/>
      </w:tblGrid>
      <w:tr w:rsidR="000046AF" w14:paraId="663FAAF8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E70AC" w14:textId="77777777" w:rsidR="000046AF" w:rsidRDefault="000046AF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9200" w:type="dxa"/>
            <w:gridSpan w:val="2"/>
            <w:shd w:val="clear" w:color="auto" w:fill="0D0D0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5544C" w14:textId="77777777" w:rsidR="000046AF" w:rsidRDefault="001877EF">
            <w:pPr>
              <w:pStyle w:val="Standard"/>
              <w:snapToGrid w:val="0"/>
            </w:pPr>
            <w:commentRangeStart w:id="13"/>
            <w:r>
              <w:rPr>
                <w:rFonts w:eastAsia="標楷體"/>
                <w:color w:val="FFFFFF"/>
              </w:rPr>
              <w:t>方案Ａ</w:t>
            </w:r>
            <w:commentRangeEnd w:id="13"/>
            <w:r>
              <w:commentReference w:id="13"/>
            </w:r>
            <w:r>
              <w:rPr>
                <w:rFonts w:eastAsia="標楷體"/>
                <w:color w:val="FFFFFF"/>
              </w:rPr>
              <w:t>：</w:t>
            </w:r>
            <w:r>
              <w:rPr>
                <w:rFonts w:eastAsia="標楷體"/>
                <w:color w:val="FFFFFF"/>
              </w:rPr>
              <w:t>1</w:t>
            </w:r>
            <w:r>
              <w:rPr>
                <w:rFonts w:eastAsia="標楷體"/>
                <w:color w:val="FFFFFF"/>
              </w:rPr>
              <w:t>年</w:t>
            </w:r>
            <w:r>
              <w:rPr>
                <w:rFonts w:eastAsia="標楷體"/>
                <w:color w:val="FFFFFF"/>
              </w:rPr>
              <w:t>1</w:t>
            </w:r>
            <w:r>
              <w:rPr>
                <w:rFonts w:eastAsia="標楷體"/>
                <w:color w:val="FFFFFF"/>
              </w:rPr>
              <w:t>次盈餘分派或虧損撥補之公司適用</w:t>
            </w:r>
          </w:p>
        </w:tc>
      </w:tr>
      <w:tr w:rsidR="000046AF" w14:paraId="2C9A1FE3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ED13F" w14:textId="77777777" w:rsidR="000046AF" w:rsidRDefault="000046AF">
            <w:pPr>
              <w:pStyle w:val="Standard"/>
              <w:snapToGrid w:val="0"/>
              <w:rPr>
                <w:rFonts w:eastAsia="標楷體"/>
                <w:b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E3FF9" w14:textId="77777777" w:rsidR="000046AF" w:rsidRDefault="001877EF">
            <w:pPr>
              <w:pStyle w:val="Standard"/>
              <w:snapToGrid w:val="0"/>
            </w:pPr>
            <w:r>
              <w:rPr>
                <w:rFonts w:eastAsia="標楷體"/>
                <w:color w:val="000000"/>
              </w:rPr>
              <w:t>第</w:t>
            </w:r>
            <w:r>
              <w:rPr>
                <w:rFonts w:eastAsia="標楷體"/>
                <w:color w:val="000000"/>
              </w:rPr>
              <w:t>23</w:t>
            </w:r>
            <w:r>
              <w:rPr>
                <w:rFonts w:eastAsia="標楷體"/>
                <w:color w:val="000000"/>
              </w:rPr>
              <w:t>條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032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8DE0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本公司每屆會計年度終了，董事會應編造營業報告書、財務報表及盈餘分派或虧損撥補之議案，並提請股東常會承認。</w:t>
            </w:r>
          </w:p>
        </w:tc>
      </w:tr>
      <w:tr w:rsidR="000046AF" w14:paraId="287A2A6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6188A" w14:textId="77777777" w:rsidR="000046AF" w:rsidRDefault="000046AF">
            <w:pPr>
              <w:pStyle w:val="Standard"/>
              <w:snapToGrid w:val="0"/>
              <w:rPr>
                <w:rFonts w:eastAsia="標楷體"/>
                <w:b/>
                <w:color w:val="000000"/>
                <w:u w:val="single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82E23" w14:textId="77777777" w:rsidR="000046AF" w:rsidRDefault="000046AF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EE3E9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046AF" w14:paraId="0645D6DF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97334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FFFF"/>
                <w:u w:val="single"/>
              </w:rPr>
            </w:pPr>
          </w:p>
        </w:tc>
        <w:tc>
          <w:tcPr>
            <w:tcW w:w="9200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7E29" w14:textId="77777777" w:rsidR="000046AF" w:rsidRDefault="001877EF">
            <w:pPr>
              <w:pStyle w:val="Standard"/>
              <w:snapToGrid w:val="0"/>
            </w:pPr>
            <w:commentRangeStart w:id="14"/>
            <w:r>
              <w:rPr>
                <w:rFonts w:ascii="標楷體" w:eastAsia="標楷體" w:hAnsi="標楷體" w:cs="標楷體"/>
                <w:color w:val="FFFFFF"/>
              </w:rPr>
              <w:t>方案Ｂ</w:t>
            </w:r>
            <w:commentRangeEnd w:id="14"/>
            <w:r>
              <w:commentReference w:id="14"/>
            </w:r>
            <w:r>
              <w:rPr>
                <w:rFonts w:ascii="標楷體" w:eastAsia="標楷體" w:hAnsi="標楷體" w:cs="標楷體"/>
                <w:color w:val="FFFFFF"/>
              </w:rPr>
              <w:t>：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年</w:t>
            </w:r>
            <w:r>
              <w:rPr>
                <w:rFonts w:ascii="標楷體" w:eastAsia="標楷體" w:hAnsi="標楷體" w:cs="標楷體"/>
                <w:color w:val="FFFFFF"/>
              </w:rPr>
              <w:t>2</w:t>
            </w:r>
            <w:r>
              <w:rPr>
                <w:rFonts w:ascii="標楷體" w:eastAsia="標楷體" w:hAnsi="標楷體" w:cs="標楷體"/>
                <w:color w:val="FFFFFF"/>
              </w:rPr>
              <w:t>次盈餘分派或虧損撥補之公司適用</w:t>
            </w:r>
            <w:r>
              <w:rPr>
                <w:rFonts w:ascii="標楷體" w:eastAsia="標楷體" w:hAnsi="標楷體" w:cs="標楷體"/>
                <w:b/>
                <w:color w:val="FFFFFF"/>
              </w:rPr>
              <w:t>：</w:t>
            </w:r>
          </w:p>
        </w:tc>
      </w:tr>
      <w:tr w:rsidR="000046AF" w14:paraId="2E4977C2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0D2BF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1C9E4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B2E3B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本公司盈餘分派或虧損撥補，於每半會計年度終了後為之。</w:t>
            </w:r>
          </w:p>
        </w:tc>
      </w:tr>
      <w:tr w:rsidR="000046AF" w14:paraId="44142E3A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1DB9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530A8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84678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本公司前半會計年度有盈餘分派或虧損撥補議案者，應於後半會計年度終了前，連同營業報告書及財務報表交監察人查核後，提董事會決議。</w:t>
            </w:r>
          </w:p>
        </w:tc>
      </w:tr>
      <w:tr w:rsidR="000046AF" w14:paraId="1592EFE5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E4F98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062F8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25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19B63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本公司每屆會計年度終了，董事會應編造營業報告書、財務報表及盈餘分派或虧損撥補之議案，並提請股東常會承認。</w:t>
            </w:r>
          </w:p>
        </w:tc>
      </w:tr>
      <w:tr w:rsidR="000046AF" w14:paraId="4B93CC72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9F03E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26260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4CD46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046AF" w14:paraId="07713A9D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71F57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200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19EBA1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  <w:r>
              <w:rPr>
                <w:rFonts w:ascii="標楷體" w:eastAsia="標楷體" w:hAnsi="標楷體" w:cs="標楷體"/>
                <w:color w:val="FFFFFF"/>
              </w:rPr>
              <w:t>方案Ｃ：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年</w:t>
            </w:r>
            <w:r>
              <w:rPr>
                <w:rFonts w:ascii="標楷體" w:eastAsia="標楷體" w:hAnsi="標楷體" w:cs="標楷體"/>
                <w:color w:val="FFFFFF"/>
              </w:rPr>
              <w:t>4</w:t>
            </w:r>
            <w:r>
              <w:rPr>
                <w:rFonts w:ascii="標楷體" w:eastAsia="標楷體" w:hAnsi="標楷體" w:cs="標楷體"/>
                <w:color w:val="FFFFFF"/>
              </w:rPr>
              <w:t>次盈餘分派或虧損撥補之公司適用：</w:t>
            </w:r>
          </w:p>
        </w:tc>
      </w:tr>
      <w:tr w:rsidR="000046AF" w14:paraId="5EC97BF9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23FDF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8FD17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209A9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本公司盈餘分派或虧損撥補，於每季終了後為之。</w:t>
            </w:r>
          </w:p>
        </w:tc>
      </w:tr>
      <w:tr w:rsidR="000046AF" w14:paraId="72F0F385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5E8A7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B4FC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0113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本公司前三季有盈餘分派或虧損撥補議案者，應於次季終了前，連同營業報告書及財務報表交監察人查核後，提董事會決議。</w:t>
            </w:r>
          </w:p>
        </w:tc>
      </w:tr>
      <w:tr w:rsidR="000046AF" w14:paraId="13D39AAD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B2A48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1D476" w14:textId="77777777" w:rsidR="000046AF" w:rsidRDefault="001877EF">
            <w:pPr>
              <w:pStyle w:val="Standard"/>
              <w:snapToGrid w:val="0"/>
            </w:pPr>
            <w:commentRangeStart w:id="15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25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5"/>
            <w:r>
              <w:commentReference w:id="15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032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09793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本公司每屆會計年度終了，董事會應編造營業報告書、財務報表及盈餘分派或虧損撥補之議案，並提請股東常會承認。</w:t>
            </w:r>
          </w:p>
        </w:tc>
      </w:tr>
      <w:tr w:rsidR="000046AF" w14:paraId="5E350A01" w14:textId="7777777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6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1A222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5D089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03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DFDF8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046AF" w14:paraId="6150A244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DAC65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B64F9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26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D8CD4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本公司股息定為年息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分，但公司無盈餘時，不得分派。</w:t>
            </w:r>
          </w:p>
        </w:tc>
      </w:tr>
      <w:tr w:rsidR="000046AF" w14:paraId="671D8CC9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DF147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E242F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27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EEE6C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公司年度如有獲利，應提撥</w:t>
            </w:r>
            <w:r>
              <w:rPr>
                <w:rFonts w:ascii="標楷體" w:eastAsia="標楷體" w:hAnsi="標楷體" w:cs="標楷體"/>
                <w:color w:val="000000"/>
              </w:rPr>
              <w:t>___%</w:t>
            </w:r>
            <w:r>
              <w:rPr>
                <w:rFonts w:ascii="標楷體" w:eastAsia="標楷體" w:hAnsi="標楷體" w:cs="標楷體"/>
                <w:color w:val="000000"/>
              </w:rPr>
              <w:t>（或</w:t>
            </w:r>
            <w:r>
              <w:rPr>
                <w:rFonts w:ascii="標楷體" w:eastAsia="標楷體" w:hAnsi="標楷體" w:cs="標楷體"/>
                <w:color w:val="00000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</w:rPr>
              <w:t>元）為員工酬勞。但公司尚有累積虧損時，應預先保留彌補數額。</w:t>
            </w:r>
          </w:p>
        </w:tc>
      </w:tr>
      <w:tr w:rsidR="000046AF" w14:paraId="1E63A6BD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ED5E8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10BC9" w14:textId="77777777" w:rsidR="000046AF" w:rsidRDefault="001877EF">
            <w:pPr>
              <w:pStyle w:val="Standard"/>
              <w:snapToGrid w:val="0"/>
            </w:pPr>
            <w:commentRangeStart w:id="16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28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6"/>
            <w:r>
              <w:commentReference w:id="16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DE413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本公司分派員工酬勞之對象包括符合一定條件（或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</w:tc>
      </w:tr>
      <w:tr w:rsidR="000046AF" w14:paraId="0FD2FC61" w14:textId="7777777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06178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83D5E" w14:textId="77777777" w:rsidR="000046AF" w:rsidRDefault="001877EF">
            <w:pPr>
              <w:pStyle w:val="Standard"/>
              <w:snapToGrid w:val="0"/>
            </w:pPr>
            <w:commentRangeStart w:id="17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29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7"/>
            <w:r>
              <w:commentReference w:id="17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713E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公司年度總決算如有盈餘，應先提繳稅款、彌補累積虧損，次提</w:t>
            </w:r>
            <w:r>
              <w:rPr>
                <w:rFonts w:ascii="標楷體" w:eastAsia="標楷體" w:hAnsi="標楷體" w:cs="標楷體"/>
                <w:color w:val="000000"/>
              </w:rPr>
              <w:t>10%</w:t>
            </w:r>
            <w:r>
              <w:rPr>
                <w:rFonts w:ascii="標楷體" w:eastAsia="標楷體" w:hAnsi="標楷體" w:cs="標楷體"/>
                <w:color w:val="000000"/>
              </w:rPr>
              <w:t>為法定盈餘公積，但法定盈餘公積已達實收資本額時，不在此限。其餘除派付股息外，如尚有盈餘，再由股東會決議分派股東紅利。</w:t>
            </w:r>
          </w:p>
        </w:tc>
      </w:tr>
      <w:tr w:rsidR="000046AF" w14:paraId="01541D98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8D3F4" w14:textId="77777777" w:rsidR="000046AF" w:rsidRDefault="000046A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812C1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30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44B29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本章程未訂事項，悉依公司法規定辦理。</w:t>
            </w:r>
          </w:p>
        </w:tc>
      </w:tr>
      <w:tr w:rsidR="000046AF" w14:paraId="36A1AC09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FFE74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15E65" w14:textId="77777777" w:rsidR="000046AF" w:rsidRDefault="001877E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31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0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EF4C9" w14:textId="77777777" w:rsidR="000046AF" w:rsidRDefault="001877E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本章程訂立於民國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日。</w:t>
            </w:r>
          </w:p>
        </w:tc>
      </w:tr>
    </w:tbl>
    <w:p w14:paraId="7351A25E" w14:textId="77777777" w:rsidR="000046AF" w:rsidRDefault="000046AF">
      <w:pPr>
        <w:pStyle w:val="Standard"/>
        <w:rPr>
          <w:color w:val="000000"/>
        </w:rPr>
      </w:pPr>
    </w:p>
    <w:sectPr w:rsidR="000046AF">
      <w:headerReference w:type="default" r:id="rId10"/>
      <w:footerReference w:type="default" r:id="rId11"/>
      <w:pgSz w:w="11906" w:h="16838"/>
      <w:pgMar w:top="907" w:right="1134" w:bottom="851" w:left="851" w:header="851" w:footer="68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w" w:date="2019-03-12T17:51:00Z" w:initials="w">
    <w:p w14:paraId="1DCEECD5" w14:textId="77777777" w:rsidR="000046AF" w:rsidRDefault="001877EF">
      <w:pPr>
        <w:spacing w:line="480" w:lineRule="auto"/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392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項規定，公司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向主管機關申請公司外文名稱登記，主管機關應依公司章程記載之外文名稱登記之。若不訂定請刪除。</w:t>
      </w:r>
    </w:p>
  </w:comment>
  <w:comment w:id="3" w:author="w" w:date="2018-10-30T08:49:00Z" w:initials="w">
    <w:p w14:paraId="26606473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如法令規定須專業經營者，不得增加此營業項目。</w:t>
      </w:r>
    </w:p>
  </w:comment>
  <w:comment w:id="4" w:author="w" w:date="2019-03-12T18:06:00Z" w:initials="w">
    <w:p w14:paraId="5AFA44AD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若不設立分公司可刪除相關文字。</w:t>
      </w:r>
    </w:p>
  </w:comment>
  <w:comment w:id="5" w:author="w" w:date="2019-03-13T10:12:00Z" w:initials="w">
    <w:p w14:paraId="4E2983D4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依公司法第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156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條第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1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項第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3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款規定，公司發行股份，應擇一採行票面金額股或無票面金額股。請擇一。</w:t>
      </w:r>
    </w:p>
  </w:comment>
  <w:comment w:id="6" w:author="w" w:date="2019-03-12T18:08:00Z" w:initials="w">
    <w:p w14:paraId="29B333D5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公司如有以技術或勞務出資者，請勿刪除本條。</w:t>
      </w:r>
    </w:p>
  </w:comment>
  <w:comment w:id="7" w:author="w" w:date="2019-03-12T17:53:00Z" w:initials="w">
    <w:p w14:paraId="5AD847B9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依公司法第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356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條之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5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規定，公司股份轉讓之限制，應於章程載明。是以，本條股份轉讓之限制，由公司自行訂定。</w:t>
      </w:r>
    </w:p>
  </w:comment>
  <w:comment w:id="8" w:author="w" w:date="2019-03-15T15:09:00Z" w:initials="w">
    <w:p w14:paraId="364459C7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167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4</w:t>
      </w:r>
      <w:r>
        <w:rPr>
          <w:rFonts w:ascii="Times New Roman" w:eastAsia="新細明體, PMingLiU" w:hAnsi="Times New Roman" w:cs="Times New Roman"/>
          <w:lang w:bidi="ar-SA"/>
        </w:rPr>
        <w:t>項、</w:t>
      </w:r>
      <w:r>
        <w:rPr>
          <w:rFonts w:ascii="Times New Roman" w:eastAsia="新細明體, PMingLiU" w:hAnsi="Times New Roman" w:cs="Times New Roman"/>
          <w:lang w:bidi="ar-SA"/>
        </w:rPr>
        <w:t>167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2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3</w:t>
      </w:r>
      <w:r>
        <w:rPr>
          <w:rFonts w:ascii="Times New Roman" w:eastAsia="新細明體, PMingLiU" w:hAnsi="Times New Roman" w:cs="Times New Roman"/>
          <w:lang w:bidi="ar-SA"/>
        </w:rPr>
        <w:t>項、</w:t>
      </w:r>
      <w:r>
        <w:rPr>
          <w:rFonts w:ascii="Times New Roman" w:eastAsia="新細明體, PMingLiU" w:hAnsi="Times New Roman" w:cs="Times New Roman"/>
          <w:lang w:bidi="ar-SA"/>
        </w:rPr>
        <w:t>267</w:t>
      </w:r>
      <w:r>
        <w:rPr>
          <w:rFonts w:ascii="Times New Roman" w:eastAsia="新細明體, PMingLiU" w:hAnsi="Times New Roman" w:cs="Times New Roman"/>
          <w:lang w:bidi="ar-SA"/>
        </w:rPr>
        <w:t>條第</w:t>
      </w:r>
      <w:r>
        <w:rPr>
          <w:rFonts w:ascii="Times New Roman" w:eastAsia="新細明體, PMingLiU" w:hAnsi="Times New Roman" w:cs="Times New Roman"/>
          <w:lang w:bidi="ar-SA"/>
        </w:rPr>
        <w:t>11</w:t>
      </w:r>
      <w:r>
        <w:rPr>
          <w:rFonts w:ascii="Times New Roman" w:eastAsia="新細明體, PMingLiU" w:hAnsi="Times New Roman" w:cs="Times New Roman"/>
          <w:lang w:bidi="ar-SA"/>
        </w:rPr>
        <w:t>項，章程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訂明之，若不發給控制或從屬公司請刪除。</w:t>
      </w:r>
    </w:p>
  </w:comment>
  <w:comment w:id="9" w:author="w" w:date="2019-03-15T15:12:00Z" w:initials="w">
    <w:p w14:paraId="7734EB66" w14:textId="77777777" w:rsidR="000046AF" w:rsidRDefault="001877EF">
      <w:pPr>
        <w:tabs>
          <w:tab w:val="left" w:pos="519"/>
          <w:tab w:val="left" w:pos="1039"/>
          <w:tab w:val="left" w:pos="1558"/>
          <w:tab w:val="left" w:pos="2077"/>
          <w:tab w:val="left" w:pos="2597"/>
          <w:tab w:val="left" w:pos="3116"/>
          <w:tab w:val="left" w:pos="3635"/>
          <w:tab w:val="left" w:pos="4154"/>
          <w:tab w:val="left" w:pos="4674"/>
          <w:tab w:val="left" w:pos="5193"/>
          <w:tab w:val="left" w:pos="5712"/>
          <w:tab w:val="left" w:pos="6232"/>
          <w:tab w:val="left" w:pos="6751"/>
          <w:tab w:val="left" w:pos="7270"/>
          <w:tab w:val="left" w:pos="7790"/>
          <w:tab w:val="left" w:pos="8309"/>
        </w:tabs>
        <w:rPr>
          <w:rFonts w:hint="eastAsia"/>
        </w:rPr>
      </w:pPr>
      <w:r>
        <w:rPr>
          <w:rStyle w:val="ac"/>
        </w:rPr>
        <w:annotationRef/>
      </w:r>
      <w:r>
        <w:rPr>
          <w:rFonts w:ascii="細明體, MingLiU" w:eastAsia="細明體, MingLiU" w:hAnsi="細明體, MingLiU" w:cs="細明體, MingLiU"/>
          <w:b/>
          <w:lang w:bidi="ar-SA"/>
        </w:rPr>
        <w:t>方案</w:t>
      </w:r>
      <w:r>
        <w:rPr>
          <w:rFonts w:ascii="細明體, MingLiU" w:eastAsia="細明體, MingLiU" w:hAnsi="細明體, MingLiU" w:cs="細明體, MingLiU"/>
          <w:b/>
          <w:lang w:bidi="ar-SA"/>
        </w:rPr>
        <w:t>A</w:t>
      </w:r>
      <w:r>
        <w:rPr>
          <w:rFonts w:ascii="細明體, MingLiU" w:eastAsia="細明體, MingLiU" w:hAnsi="細明體, MingLiU" w:cs="細明體, MingLiU"/>
          <w:b/>
          <w:lang w:bidi="ar-SA"/>
        </w:rPr>
        <w:t>、方案</w:t>
      </w:r>
      <w:r>
        <w:rPr>
          <w:rFonts w:ascii="細明體, MingLiU" w:eastAsia="細明體, MingLiU" w:hAnsi="細明體, MingLiU" w:cs="細明體, MingLiU"/>
          <w:b/>
          <w:lang w:bidi="ar-SA"/>
        </w:rPr>
        <w:t>B</w:t>
      </w:r>
      <w:r>
        <w:rPr>
          <w:rFonts w:ascii="細明體, MingLiU" w:eastAsia="細明體, MingLiU" w:hAnsi="細明體, MingLiU" w:cs="細明體, MingLiU"/>
          <w:b/>
          <w:lang w:bidi="ar-SA"/>
        </w:rPr>
        <w:t>、方案</w:t>
      </w:r>
      <w:r>
        <w:rPr>
          <w:rFonts w:ascii="細明體, MingLiU" w:eastAsia="細明體, MingLiU" w:hAnsi="細明體, MingLiU" w:cs="細明體, MingLiU"/>
          <w:b/>
          <w:lang w:bidi="ar-SA"/>
        </w:rPr>
        <w:t>C</w:t>
      </w:r>
      <w:r>
        <w:rPr>
          <w:rFonts w:ascii="細明體, MingLiU" w:eastAsia="細明體, MingLiU" w:hAnsi="細明體, MingLiU" w:cs="細明體, MingLiU"/>
          <w:b/>
          <w:lang w:bidi="ar-SA"/>
        </w:rPr>
        <w:t>請擇一</w:t>
      </w:r>
    </w:p>
    <w:p w14:paraId="4437AC87" w14:textId="77777777" w:rsidR="000046AF" w:rsidRDefault="001877EF">
      <w:pPr>
        <w:tabs>
          <w:tab w:val="left" w:pos="519"/>
          <w:tab w:val="left" w:pos="1039"/>
          <w:tab w:val="left" w:pos="1558"/>
          <w:tab w:val="left" w:pos="2077"/>
          <w:tab w:val="left" w:pos="2597"/>
          <w:tab w:val="left" w:pos="3116"/>
          <w:tab w:val="left" w:pos="3635"/>
          <w:tab w:val="left" w:pos="4154"/>
          <w:tab w:val="left" w:pos="4674"/>
          <w:tab w:val="left" w:pos="5193"/>
          <w:tab w:val="left" w:pos="5712"/>
          <w:tab w:val="left" w:pos="6232"/>
          <w:tab w:val="left" w:pos="6751"/>
          <w:tab w:val="left" w:pos="7270"/>
          <w:tab w:val="left" w:pos="7790"/>
          <w:tab w:val="left" w:pos="8309"/>
        </w:tabs>
        <w:rPr>
          <w:rFonts w:hint="eastAsia"/>
        </w:rPr>
      </w:pPr>
      <w:r>
        <w:rPr>
          <w:rFonts w:ascii="細明體, MingLiU" w:eastAsia="細明體, MingLiU" w:hAnsi="細明體, MingLiU" w:cs="細明體, MingLiU"/>
          <w:sz w:val="22"/>
          <w:lang w:bidi="ar-SA"/>
        </w:rPr>
        <w:t>依公司法第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128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條之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1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規定：「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前項公司（政府或法人股東一人之公司），得依章程規定不設董事會，置董事一人或二人；置董事一人者，以其為董事長，董事會之職權由該董事行使，不適用本法有關董事會之規定；置董事二人者，準用本法有關董事會之規定。（第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2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項）第一項公司，得依章程規定不置監察人；未置監察人者，不適用本法有關監察人之規定。（第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3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項）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」</w:t>
      </w:r>
    </w:p>
    <w:p w14:paraId="26E29647" w14:textId="77777777" w:rsidR="000046AF" w:rsidRDefault="001877EF">
      <w:pPr>
        <w:rPr>
          <w:rFonts w:hint="eastAsia"/>
        </w:rPr>
      </w:pP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192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條第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1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項、第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2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項規定：「公司董事會，設置董事不得少於三人，由股東會就有行為能力之人選任之。（第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1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項）公司得依章程規定不設董事會，置董事一人或二人。置董事一人者，以其為董事長，董事會之職權並由該董事行使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，不適用本法有關董事會之規定；置董事二人者，準用本法有關董事會之規定。（第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2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項）」</w:t>
      </w:r>
    </w:p>
  </w:comment>
  <w:comment w:id="10" w:author="w" w:date="2019-03-12T18:24:00Z" w:initials="w">
    <w:p w14:paraId="5DABF676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新細明體, PMingLiU" w:eastAsia="新細明體, PMingLiU" w:hAnsi="新細明體, PMingLiU" w:cs="新細明體, PMingLiU"/>
          <w:sz w:val="28"/>
          <w:lang w:bidi="ar-SA"/>
        </w:rPr>
        <w:t>不設副董事長者，請刪除相關文字。</w:t>
      </w:r>
    </w:p>
  </w:comment>
  <w:comment w:id="11" w:author="w" w:date="2019-03-14T13:58:00Z" w:initials="w">
    <w:p w14:paraId="291AF073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除於章程訂明全體董事及監察人之報酬，授權董事會議依同業通常水準支給外，</w:t>
      </w:r>
      <w:r>
        <w:rPr>
          <w:rFonts w:ascii="Times New Roman" w:eastAsia="新細明體, PMingLiU" w:hAnsi="Times New Roman" w:cs="Times New Roman"/>
          <w:b/>
          <w:lang w:bidi="ar-SA"/>
        </w:rPr>
        <w:t>可於章程中增訂全體董事及監察人報酬之總額、上限、一定比例等明確授權之範圍</w:t>
      </w:r>
      <w:r>
        <w:rPr>
          <w:rFonts w:ascii="Times New Roman" w:eastAsia="新細明體, PMingLiU" w:hAnsi="Times New Roman" w:cs="Times New Roman"/>
          <w:lang w:bidi="ar-SA"/>
        </w:rPr>
        <w:t>，並考量所投入之時間、所負擔之職責及公司近年給予同等職位者之報酬。</w:t>
      </w:r>
    </w:p>
  </w:comment>
  <w:comment w:id="12" w:author="w" w:date="2019-03-12T18:32:00Z" w:initials="w">
    <w:p w14:paraId="09872E9E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356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3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5</w:t>
      </w:r>
      <w:r>
        <w:rPr>
          <w:rFonts w:ascii="Times New Roman" w:eastAsia="新細明體, PMingLiU" w:hAnsi="Times New Roman" w:cs="Times New Roman"/>
          <w:lang w:bidi="ar-SA"/>
        </w:rPr>
        <w:t>項、第</w:t>
      </w:r>
      <w:r>
        <w:rPr>
          <w:rFonts w:ascii="Times New Roman" w:eastAsia="新細明體, PMingLiU" w:hAnsi="Times New Roman" w:cs="Times New Roman"/>
          <w:lang w:bidi="ar-SA"/>
        </w:rPr>
        <w:t>7</w:t>
      </w:r>
      <w:r>
        <w:rPr>
          <w:rFonts w:ascii="Times New Roman" w:eastAsia="新細明體, PMingLiU" w:hAnsi="Times New Roman" w:cs="Times New Roman"/>
          <w:lang w:bidi="ar-SA"/>
        </w:rPr>
        <w:t>項規定，</w:t>
      </w:r>
      <w:r>
        <w:rPr>
          <w:rFonts w:ascii="Times New Roman" w:eastAsia="新細明體, PMingLiU" w:hAnsi="Times New Roman" w:cs="Times New Roman"/>
          <w:b/>
          <w:lang w:bidi="ar-SA"/>
        </w:rPr>
        <w:t>發起人及股東會</w:t>
      </w:r>
      <w:r>
        <w:rPr>
          <w:rFonts w:ascii="Times New Roman" w:eastAsia="新細明體, PMingLiU" w:hAnsi="Times New Roman" w:cs="Times New Roman"/>
          <w:lang w:bidi="ar-SA"/>
        </w:rPr>
        <w:t>選任董事及監察人之方式，</w:t>
      </w:r>
      <w:r>
        <w:rPr>
          <w:rFonts w:ascii="Times New Roman" w:eastAsia="新細明體, PMingLiU" w:hAnsi="Times New Roman" w:cs="Times New Roman"/>
          <w:b/>
          <w:lang w:bidi="ar-SA"/>
        </w:rPr>
        <w:t>除章程另有規定者外，依第</w:t>
      </w:r>
      <w:r>
        <w:rPr>
          <w:rFonts w:ascii="Times New Roman" w:eastAsia="新細明體, PMingLiU" w:hAnsi="Times New Roman" w:cs="Times New Roman"/>
          <w:b/>
          <w:lang w:bidi="ar-SA"/>
        </w:rPr>
        <w:t>198</w:t>
      </w:r>
      <w:r>
        <w:rPr>
          <w:rFonts w:ascii="Times New Roman" w:eastAsia="新細明體, PMingLiU" w:hAnsi="Times New Roman" w:cs="Times New Roman"/>
          <w:b/>
          <w:lang w:bidi="ar-SA"/>
        </w:rPr>
        <w:t>條規定。</w:t>
      </w:r>
      <w:r>
        <w:rPr>
          <w:rFonts w:ascii="Times New Roman" w:eastAsia="新細明體, PMingLiU" w:hAnsi="Times New Roman" w:cs="Times New Roman"/>
          <w:lang w:bidi="ar-SA"/>
        </w:rPr>
        <w:t>如無須另訂選任方式者請刪除。</w:t>
      </w:r>
    </w:p>
  </w:comment>
  <w:comment w:id="13" w:author="w" w:date="2019-03-13T10:19:00Z" w:initials="w">
    <w:p w14:paraId="221417C7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20</w:t>
      </w:r>
      <w:r>
        <w:rPr>
          <w:rFonts w:ascii="Times New Roman" w:eastAsia="新細明體, PMingLiU" w:hAnsi="Times New Roman" w:cs="Times New Roman"/>
          <w:lang w:bidi="ar-SA"/>
        </w:rPr>
        <w:t>條規定：「公司</w:t>
      </w:r>
      <w:r>
        <w:rPr>
          <w:rFonts w:ascii="Times New Roman" w:eastAsia="新細明體, PMingLiU" w:hAnsi="Times New Roman" w:cs="Times New Roman"/>
          <w:b/>
          <w:lang w:bidi="ar-SA"/>
        </w:rPr>
        <w:t>每屆會計年度終了</w:t>
      </w:r>
      <w:r>
        <w:rPr>
          <w:rFonts w:ascii="Times New Roman" w:eastAsia="新細明體, PMingLiU" w:hAnsi="Times New Roman" w:cs="Times New Roman"/>
          <w:lang w:bidi="ar-SA"/>
        </w:rPr>
        <w:t>，應將營業報告書、財務報表及盈餘分派或虧損撥補之議案，提請股東同意或股東常會承認。」及第</w:t>
      </w:r>
      <w:r>
        <w:rPr>
          <w:rFonts w:ascii="Times New Roman" w:eastAsia="新細明體, PMingLiU" w:hAnsi="Times New Roman" w:cs="Times New Roman"/>
          <w:lang w:bidi="ar-SA"/>
        </w:rPr>
        <w:t>228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項規定：「公司</w:t>
      </w:r>
      <w:r>
        <w:rPr>
          <w:rFonts w:ascii="Times New Roman" w:eastAsia="新細明體, PMingLiU" w:hAnsi="Times New Roman" w:cs="Times New Roman"/>
          <w:b/>
          <w:lang w:bidi="ar-SA"/>
        </w:rPr>
        <w:t>章程得訂明</w:t>
      </w:r>
      <w:r>
        <w:rPr>
          <w:rFonts w:ascii="Times New Roman" w:eastAsia="新細明體, PMingLiU" w:hAnsi="Times New Roman" w:cs="Times New Roman"/>
          <w:lang w:bidi="ar-SA"/>
        </w:rPr>
        <w:t>盈餘分派或虧損撥補於</w:t>
      </w:r>
      <w:r>
        <w:rPr>
          <w:rFonts w:ascii="Times New Roman" w:eastAsia="新細明體, PMingLiU" w:hAnsi="Times New Roman" w:cs="Times New Roman"/>
          <w:b/>
          <w:lang w:bidi="ar-SA"/>
        </w:rPr>
        <w:t>每季或每半會計年度終了後</w:t>
      </w:r>
      <w:r>
        <w:rPr>
          <w:rFonts w:ascii="Times New Roman" w:eastAsia="新細明體, PMingLiU" w:hAnsi="Times New Roman" w:cs="Times New Roman"/>
          <w:lang w:bidi="ar-SA"/>
        </w:rPr>
        <w:t>為之。」</w:t>
      </w:r>
      <w:r>
        <w:rPr>
          <w:rFonts w:ascii="Times New Roman" w:eastAsia="新細明體, PMingLiU" w:hAnsi="Times New Roman" w:cs="Times New Roman"/>
          <w:b/>
          <w:lang w:bidi="ar-SA"/>
        </w:rPr>
        <w:t>方案Ａ、方案Ｂ、方案Ｃ請擇一。</w:t>
      </w:r>
    </w:p>
  </w:comment>
  <w:comment w:id="14" w:author="w" w:date="2019-03-18T14:06:00Z" w:initials="w">
    <w:p w14:paraId="77E0DF7E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</w:p>
    <w:p w14:paraId="08EAD971" w14:textId="77777777" w:rsidR="000046AF" w:rsidRDefault="001877EF">
      <w:pPr>
        <w:rPr>
          <w:rFonts w:hint="eastAsia"/>
        </w:rPr>
      </w:pPr>
      <w:r>
        <w:rPr>
          <w:rFonts w:ascii="Times New Roman" w:eastAsia="新細明體, PMingLiU" w:hAnsi="Times New Roman" w:cs="Times New Roman"/>
          <w:lang w:bidi="ar-SA"/>
        </w:rPr>
        <w:t>實際執行時，如未按每季或每半會計年度終了後為盈餘分派或虧損撥補者，尚無須踐行編造盈餘分派或虧損撥補議案、營業報告書及財務報表，以及交監察人查核後再提董事會決議之程序。惟公司決定不分派盈餘或不撥補虧損，仍須經董事會為不分派或不撥補之決議。</w:t>
      </w:r>
    </w:p>
    <w:p w14:paraId="34A4707C" w14:textId="77777777" w:rsidR="000046AF" w:rsidRDefault="001877EF">
      <w:pPr>
        <w:rPr>
          <w:rFonts w:hint="eastAsia"/>
        </w:rPr>
      </w:pPr>
      <w:r>
        <w:rPr>
          <w:rFonts w:ascii="Times New Roman" w:eastAsia="新細明體, PMingLiU" w:hAnsi="Times New Roman" w:cs="Times New Roman"/>
          <w:lang w:bidi="ar-SA"/>
        </w:rPr>
        <w:t>採方案</w:t>
      </w:r>
      <w:r>
        <w:rPr>
          <w:rFonts w:ascii="Times New Roman" w:eastAsia="新細明體, PMingLiU" w:hAnsi="Times New Roman" w:cs="Times New Roman"/>
          <w:lang w:bidi="ar-SA"/>
        </w:rPr>
        <w:t>B</w:t>
      </w:r>
      <w:r>
        <w:rPr>
          <w:rFonts w:ascii="Times New Roman" w:eastAsia="新細明體, PMingLiU" w:hAnsi="Times New Roman" w:cs="Times New Roman"/>
          <w:lang w:bidi="ar-SA"/>
        </w:rPr>
        <w:t>者，後半會計年度終了等同每屆會計年度終了。</w:t>
      </w:r>
    </w:p>
  </w:comment>
  <w:comment w:id="15" w:author="w" w:date="2019-03-13T10:13:00Z" w:initials="w">
    <w:p w14:paraId="237C13E0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採方案</w:t>
      </w:r>
      <w:r>
        <w:rPr>
          <w:rFonts w:ascii="Times New Roman" w:eastAsia="新細明體, PMingLiU" w:hAnsi="Times New Roman" w:cs="Times New Roman"/>
          <w:lang w:bidi="ar-SA"/>
        </w:rPr>
        <w:t>C</w:t>
      </w:r>
      <w:r>
        <w:rPr>
          <w:rFonts w:ascii="Times New Roman" w:eastAsia="新細明體, PMingLiU" w:hAnsi="Times New Roman" w:cs="Times New Roman"/>
          <w:lang w:bidi="ar-SA"/>
        </w:rPr>
        <w:t>者，第四季會計年度終了等同每屆會計年度終了。</w:t>
      </w:r>
    </w:p>
  </w:comment>
  <w:comment w:id="16" w:author="w" w:date="2019-03-12T18:01:00Z" w:initials="w">
    <w:p w14:paraId="6A132F25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235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4</w:t>
      </w:r>
      <w:r>
        <w:rPr>
          <w:rFonts w:ascii="Times New Roman" w:eastAsia="新細明體, PMingLiU" w:hAnsi="Times New Roman" w:cs="Times New Roman"/>
          <w:lang w:bidi="ar-SA"/>
        </w:rPr>
        <w:t>項，章程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訂明員工酬勞分派之對象包括符合一定條件之控制或從屬公司員工，若不分派予控制或從屬公司請刪除。</w:t>
      </w:r>
    </w:p>
  </w:comment>
  <w:comment w:id="17" w:author="w" w:date="2019-03-13T10:13:00Z" w:initials="w">
    <w:p w14:paraId="7D04962C" w14:textId="77777777" w:rsidR="000046AF" w:rsidRDefault="001877EF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若不訂定本範本第</w:t>
      </w:r>
      <w:r>
        <w:rPr>
          <w:rFonts w:ascii="Times New Roman" w:eastAsia="新細明體, PMingLiU" w:hAnsi="Times New Roman" w:cs="Times New Roman"/>
          <w:lang w:bidi="ar-SA"/>
        </w:rPr>
        <w:t>26</w:t>
      </w:r>
      <w:r>
        <w:rPr>
          <w:rFonts w:ascii="Times New Roman" w:eastAsia="新細明體, PMingLiU" w:hAnsi="Times New Roman" w:cs="Times New Roman"/>
          <w:lang w:bidi="ar-SA"/>
        </w:rPr>
        <w:t>條，請配合刪除本條「股息」相關文字。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CEECD5" w15:done="0"/>
  <w15:commentEx w15:paraId="26606473" w15:done="0"/>
  <w15:commentEx w15:paraId="5AFA44AD" w15:done="0"/>
  <w15:commentEx w15:paraId="4E2983D4" w15:done="0"/>
  <w15:commentEx w15:paraId="29B333D5" w15:done="0"/>
  <w15:commentEx w15:paraId="5AD847B9" w15:done="0"/>
  <w15:commentEx w15:paraId="364459C7" w15:done="0"/>
  <w15:commentEx w15:paraId="26E29647" w15:done="0"/>
  <w15:commentEx w15:paraId="5DABF676" w15:done="0"/>
  <w15:commentEx w15:paraId="291AF073" w15:done="0"/>
  <w15:commentEx w15:paraId="09872E9E" w15:done="0"/>
  <w15:commentEx w15:paraId="221417C7" w15:done="0"/>
  <w15:commentEx w15:paraId="34A4707C" w15:done="0"/>
  <w15:commentEx w15:paraId="237C13E0" w15:done="0"/>
  <w15:commentEx w15:paraId="6A132F25" w15:done="0"/>
  <w15:commentEx w15:paraId="7D0496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CEECD5" w16cid:durableId="220CBBD4"/>
  <w16cid:commentId w16cid:paraId="26606473" w16cid:durableId="220CBBD5"/>
  <w16cid:commentId w16cid:paraId="5AFA44AD" w16cid:durableId="220CBBD6"/>
  <w16cid:commentId w16cid:paraId="4E2983D4" w16cid:durableId="220CBBD7"/>
  <w16cid:commentId w16cid:paraId="29B333D5" w16cid:durableId="220CBBD8"/>
  <w16cid:commentId w16cid:paraId="5AD847B9" w16cid:durableId="220CBBD9"/>
  <w16cid:commentId w16cid:paraId="364459C7" w16cid:durableId="220CBBDA"/>
  <w16cid:commentId w16cid:paraId="26E29647" w16cid:durableId="220CBBDB"/>
  <w16cid:commentId w16cid:paraId="5DABF676" w16cid:durableId="220CBBDC"/>
  <w16cid:commentId w16cid:paraId="291AF073" w16cid:durableId="220CBBDD"/>
  <w16cid:commentId w16cid:paraId="09872E9E" w16cid:durableId="220CBBDE"/>
  <w16cid:commentId w16cid:paraId="221417C7" w16cid:durableId="220CBBDF"/>
  <w16cid:commentId w16cid:paraId="34A4707C" w16cid:durableId="220CBBE0"/>
  <w16cid:commentId w16cid:paraId="237C13E0" w16cid:durableId="220CBBE1"/>
  <w16cid:commentId w16cid:paraId="6A132F25" w16cid:durableId="220CBBE2"/>
  <w16cid:commentId w16cid:paraId="7D04962C" w16cid:durableId="220CB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DF27F" w14:textId="77777777" w:rsidR="001877EF" w:rsidRDefault="001877EF">
      <w:pPr>
        <w:rPr>
          <w:rFonts w:hint="eastAsia"/>
        </w:rPr>
      </w:pPr>
      <w:r>
        <w:separator/>
      </w:r>
    </w:p>
  </w:endnote>
  <w:endnote w:type="continuationSeparator" w:id="0">
    <w:p w14:paraId="153565DF" w14:textId="77777777" w:rsidR="001877EF" w:rsidRDefault="001877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, MingLiU">
    <w:altName w:val="細明體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6E7A" w14:textId="77777777" w:rsidR="00B74178" w:rsidRDefault="001877EF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973F28D" w14:textId="77777777" w:rsidR="00B74178" w:rsidRDefault="001877EF">
    <w:pPr>
      <w:pStyle w:val="a8"/>
      <w:jc w:val="right"/>
    </w:pPr>
    <w:r>
      <w:t>1080527</w:t>
    </w:r>
    <w: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A591" w14:textId="77777777" w:rsidR="001877EF" w:rsidRDefault="001877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C4A706D" w14:textId="77777777" w:rsidR="001877EF" w:rsidRDefault="001877E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DA86" w14:textId="77777777" w:rsidR="00B74178" w:rsidRDefault="001877EF">
    <w:pPr>
      <w:pStyle w:val="a7"/>
    </w:pPr>
    <w:r>
      <w:pict w14:anchorId="167776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4813" o:spid="_x0000_s2049" type="#_x0000_t136" style="position:absolute;margin-left:0;margin-top:0;width:82.85pt;height:396.05pt;rotation:45;z-index:-251657216;visibility:visible;mso-wrap-style:square;mso-position-horizontal:center;mso-position-horizontal-relative:margin;mso-position-vertical:center;mso-position-vertical-relative:margin;v-text-anchor:top-center" fillcolor="#ffb3b3" stroked="f">
          <v:fill opacity="32896f"/>
          <v:textpath style="font-family:&quot;微軟正黑體&quot;;font-size:18pt;v-text-align:left;v-text-reverse:t" trim="t" string="範例僅供參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2355"/>
    <w:multiLevelType w:val="multilevel"/>
    <w:tmpl w:val="519C3230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5A0E273A"/>
    <w:multiLevelType w:val="multilevel"/>
    <w:tmpl w:val="2A16FE22"/>
    <w:styleLink w:val="WW8Num2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46AF"/>
    <w:rsid w:val="000046AF"/>
    <w:rsid w:val="001877EF"/>
    <w:rsid w:val="0023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EB3BEE"/>
  <w15:docId w15:val="{726BBDB4-50E9-4F23-9D3A-0C41AE7B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a">
    <w:name w:val="annotation subject"/>
    <w:basedOn w:val="a5"/>
    <w:next w:val="a5"/>
    <w:rPr>
      <w:b/>
      <w:bCs/>
    </w:rPr>
  </w:style>
  <w:style w:type="paragraph" w:customStyle="1" w:styleId="Endnote">
    <w:name w:val="Endnote"/>
    <w:basedOn w:val="Standard"/>
    <w:pPr>
      <w:snapToGrid w:val="0"/>
    </w:p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ab">
    <w:name w:val="註解文字 字元"/>
    <w:rPr>
      <w:rFonts w:cs="Times New Roman"/>
      <w:sz w:val="24"/>
      <w:szCs w:val="24"/>
    </w:rPr>
  </w:style>
  <w:style w:type="character" w:styleId="ac">
    <w:name w:val="annotation reference"/>
    <w:rPr>
      <w:rFonts w:cs="Times New Roman"/>
      <w:sz w:val="18"/>
      <w:szCs w:val="18"/>
    </w:rPr>
  </w:style>
  <w:style w:type="character" w:customStyle="1" w:styleId="ad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af0">
    <w:name w:val="註解主旨 字元"/>
    <w:rPr>
      <w:rFonts w:cs="Times New Roman"/>
      <w:b/>
      <w:bCs/>
      <w:kern w:val="3"/>
      <w:sz w:val="24"/>
      <w:szCs w:val="24"/>
    </w:rPr>
  </w:style>
  <w:style w:type="character" w:customStyle="1" w:styleId="af1">
    <w:name w:val="章節附註文字 字元"/>
    <w:rPr>
      <w:kern w:val="3"/>
      <w:sz w:val="24"/>
      <w:szCs w:val="24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股份有限公司公司章程</dc:title>
  <dc:subject>股份有限公司公司章程(A4直印)</dc:subject>
  <dc:creator>經濟部商業司</dc:creator>
  <cp:keywords>股份有限公司公司章程</cp:keywords>
  <cp:lastModifiedBy>LGP_Harry</cp:lastModifiedBy>
  <cp:revision>2</cp:revision>
  <cp:lastPrinted>2019-05-14T09:21:00Z</cp:lastPrinted>
  <dcterms:created xsi:type="dcterms:W3CDTF">2020-03-06T04:08:00Z</dcterms:created>
  <dcterms:modified xsi:type="dcterms:W3CDTF">2020-03-06T04:08:00Z</dcterms:modified>
</cp:coreProperties>
</file>